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A302DB" w14:textId="32032CB3" w:rsidR="00CF60E6" w:rsidRPr="007700CA" w:rsidRDefault="005B3F4C" w:rsidP="00CF60E6">
      <w:pPr>
        <w:spacing w:after="0"/>
        <w:ind w:left="360"/>
        <w:jc w:val="both"/>
        <w:rPr>
          <w:bCs/>
          <w:color w:val="87BE28"/>
          <w:sz w:val="36"/>
          <w:szCs w:val="36"/>
          <w:lang w:val="fr-FR"/>
        </w:rPr>
      </w:pPr>
      <w:r w:rsidRPr="005B3F4C">
        <w:rPr>
          <w:b/>
          <w:noProof/>
          <w:color w:val="FFC000" w:themeColor="accent4"/>
          <w:sz w:val="36"/>
          <w:szCs w:val="36"/>
          <w:lang w:val="fr-FR" w:eastAsia="fr-FR"/>
        </w:rPr>
        <w:drawing>
          <wp:anchor distT="0" distB="0" distL="114300" distR="114300" simplePos="0" relativeHeight="251659264" behindDoc="0" locked="0" layoutInCell="1" allowOverlap="1" wp14:anchorId="728BC839" wp14:editId="5071FCC4">
            <wp:simplePos x="0" y="0"/>
            <wp:positionH relativeFrom="column">
              <wp:posOffset>228600</wp:posOffset>
            </wp:positionH>
            <wp:positionV relativeFrom="paragraph">
              <wp:posOffset>-2540</wp:posOffset>
            </wp:positionV>
            <wp:extent cx="769687" cy="731583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69687" cy="7315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D02C0" w:rsidRPr="00A8679F">
        <w:rPr>
          <w:b/>
          <w:color w:val="87BE28"/>
          <w:sz w:val="36"/>
          <w:szCs w:val="36"/>
          <w:lang w:val="fr-FR"/>
        </w:rPr>
        <w:t xml:space="preserve">Étape </w:t>
      </w:r>
      <w:r w:rsidR="007C147D" w:rsidRPr="00A8679F">
        <w:rPr>
          <w:b/>
          <w:color w:val="87BE28"/>
          <w:sz w:val="36"/>
          <w:szCs w:val="36"/>
          <w:lang w:val="fr-FR"/>
        </w:rPr>
        <w:t>3 :</w:t>
      </w:r>
      <w:r w:rsidR="00BD02C0" w:rsidRPr="007700CA">
        <w:rPr>
          <w:b/>
          <w:color w:val="87BE28"/>
          <w:sz w:val="36"/>
          <w:szCs w:val="36"/>
          <w:lang w:val="fr-FR"/>
        </w:rPr>
        <w:t xml:space="preserve"> Mobilisation des ressources</w:t>
      </w:r>
    </w:p>
    <w:p w14:paraId="4473C7C7" w14:textId="72BB24B7" w:rsidR="00CF60E6" w:rsidRPr="00723BA4" w:rsidRDefault="00F70C5A" w:rsidP="00CF60E6">
      <w:pPr>
        <w:spacing w:after="0"/>
        <w:ind w:left="360"/>
        <w:jc w:val="both"/>
        <w:rPr>
          <w:bCs/>
          <w:color w:val="87BE28"/>
          <w:sz w:val="32"/>
          <w:szCs w:val="32"/>
          <w:lang w:val="fr-FR"/>
        </w:rPr>
      </w:pPr>
      <w:r w:rsidRPr="00723BA4">
        <w:rPr>
          <w:bCs/>
          <w:color w:val="87BE28"/>
          <w:sz w:val="32"/>
          <w:szCs w:val="32"/>
          <w:lang w:val="fr-FR"/>
        </w:rPr>
        <w:t xml:space="preserve">Annexes </w:t>
      </w:r>
      <w:r w:rsidR="00723BA4" w:rsidRPr="00723BA4">
        <w:rPr>
          <w:bCs/>
          <w:color w:val="87BE28"/>
          <w:sz w:val="32"/>
          <w:szCs w:val="32"/>
          <w:lang w:val="fr-FR"/>
        </w:rPr>
        <w:t>pour</w:t>
      </w:r>
      <w:r w:rsidRPr="00723BA4">
        <w:rPr>
          <w:bCs/>
          <w:color w:val="87BE28"/>
          <w:sz w:val="32"/>
          <w:szCs w:val="32"/>
          <w:lang w:val="fr-FR"/>
        </w:rPr>
        <w:t xml:space="preserve"> faciliter la mise en œuvre des “étapes” de collaboration</w:t>
      </w:r>
    </w:p>
    <w:p w14:paraId="10C3CCBF" w14:textId="77777777" w:rsidR="00723BA4" w:rsidRDefault="00346A8A" w:rsidP="00346A8A">
      <w:pPr>
        <w:pStyle w:val="CommentText"/>
        <w:spacing w:after="0"/>
        <w:rPr>
          <w:lang w:val="fr-FR"/>
        </w:rPr>
      </w:pPr>
      <w:r w:rsidRPr="00A8679F">
        <w:rPr>
          <w:lang w:val="fr-FR"/>
        </w:rPr>
        <w:t xml:space="preserve">                   </w:t>
      </w:r>
    </w:p>
    <w:p w14:paraId="06A2A6BD" w14:textId="77777777" w:rsidR="00723BA4" w:rsidRDefault="00723BA4" w:rsidP="00346A8A">
      <w:pPr>
        <w:pStyle w:val="CommentText"/>
        <w:spacing w:after="0"/>
        <w:rPr>
          <w:lang w:val="fr-FR"/>
        </w:rPr>
      </w:pPr>
    </w:p>
    <w:p w14:paraId="094219D0" w14:textId="42926E6A" w:rsidR="00CF60E6" w:rsidRPr="00346A8A" w:rsidRDefault="00D40600" w:rsidP="00723BA4">
      <w:pPr>
        <w:pStyle w:val="CommentText"/>
        <w:spacing w:after="0"/>
        <w:ind w:left="273" w:firstLine="720"/>
        <w:rPr>
          <w:lang w:val="fr-FR"/>
        </w:rPr>
      </w:pPr>
      <w:hyperlink w:anchor="Annex9" w:history="1">
        <w:r w:rsidR="00CF60E6" w:rsidRPr="00346A8A">
          <w:rPr>
            <w:rStyle w:val="Hyperlink"/>
            <w:b/>
            <w:color w:val="87BE28"/>
            <w:sz w:val="22"/>
            <w:szCs w:val="22"/>
            <w:lang w:val="fr-FR"/>
          </w:rPr>
          <w:t>Annex</w:t>
        </w:r>
        <w:r w:rsidR="00346A8A" w:rsidRPr="00346A8A">
          <w:rPr>
            <w:rStyle w:val="Hyperlink"/>
            <w:b/>
            <w:color w:val="87BE28"/>
            <w:sz w:val="22"/>
            <w:szCs w:val="22"/>
            <w:lang w:val="fr-FR"/>
          </w:rPr>
          <w:t>e</w:t>
        </w:r>
        <w:r w:rsidR="00CF60E6" w:rsidRPr="00346A8A">
          <w:rPr>
            <w:rStyle w:val="Hyperlink"/>
            <w:b/>
            <w:color w:val="87BE28"/>
            <w:sz w:val="22"/>
            <w:szCs w:val="22"/>
            <w:lang w:val="fr-FR"/>
          </w:rPr>
          <w:t xml:space="preserve"> 9</w:t>
        </w:r>
      </w:hyperlink>
      <w:r w:rsidR="00CF60E6" w:rsidRPr="00346A8A">
        <w:rPr>
          <w:b/>
          <w:color w:val="87BE28"/>
          <w:sz w:val="22"/>
          <w:szCs w:val="22"/>
          <w:lang w:val="fr-FR"/>
        </w:rPr>
        <w:t xml:space="preserve"> </w:t>
      </w:r>
      <w:r w:rsidR="005B3F4C" w:rsidRPr="00346A8A">
        <w:rPr>
          <w:b/>
          <w:color w:val="87BE28"/>
          <w:sz w:val="22"/>
          <w:szCs w:val="22"/>
          <w:lang w:val="fr-FR"/>
        </w:rPr>
        <w:tab/>
      </w:r>
      <w:r w:rsidR="00346A8A" w:rsidRPr="00963FF8">
        <w:rPr>
          <w:b/>
          <w:bCs/>
          <w:color w:val="87BE28"/>
          <w:sz w:val="22"/>
          <w:szCs w:val="22"/>
          <w:lang w:val="fr-FR"/>
        </w:rPr>
        <w:t>Exe</w:t>
      </w:r>
      <w:r w:rsidR="00CF60E6" w:rsidRPr="00963FF8">
        <w:rPr>
          <w:b/>
          <w:bCs/>
          <w:color w:val="87BE28"/>
          <w:sz w:val="22"/>
          <w:szCs w:val="22"/>
          <w:lang w:val="fr-FR"/>
        </w:rPr>
        <w:t xml:space="preserve">mple </w:t>
      </w:r>
      <w:r w:rsidR="00346A8A" w:rsidRPr="00963FF8">
        <w:rPr>
          <w:b/>
          <w:bCs/>
          <w:color w:val="87BE28"/>
          <w:sz w:val="22"/>
          <w:szCs w:val="22"/>
          <w:lang w:val="fr-FR"/>
        </w:rPr>
        <w:t>d’analyse globale des donateurs de premier plan, à adapter au niveau des pays</w:t>
      </w:r>
    </w:p>
    <w:p w14:paraId="65A3C16A" w14:textId="7987405C" w:rsidR="00CF60E6" w:rsidRPr="00346A8A" w:rsidRDefault="00D40600" w:rsidP="00346A8A">
      <w:pPr>
        <w:pStyle w:val="CommentText"/>
        <w:spacing w:after="0"/>
        <w:ind w:firstLine="993"/>
        <w:rPr>
          <w:lang w:val="fr-FR"/>
        </w:rPr>
      </w:pPr>
      <w:hyperlink w:anchor="Annex10" w:history="1">
        <w:r w:rsidR="00CF60E6" w:rsidRPr="00346A8A">
          <w:rPr>
            <w:rStyle w:val="Hyperlink"/>
            <w:b/>
            <w:color w:val="87BE28"/>
            <w:sz w:val="22"/>
            <w:szCs w:val="22"/>
            <w:lang w:val="fr-FR"/>
          </w:rPr>
          <w:t>Annex</w:t>
        </w:r>
        <w:r w:rsidR="00346A8A">
          <w:rPr>
            <w:rStyle w:val="Hyperlink"/>
            <w:b/>
            <w:color w:val="87BE28"/>
            <w:sz w:val="22"/>
            <w:szCs w:val="22"/>
            <w:lang w:val="fr-FR"/>
          </w:rPr>
          <w:t>e</w:t>
        </w:r>
        <w:r w:rsidR="00CF60E6" w:rsidRPr="00346A8A">
          <w:rPr>
            <w:rStyle w:val="Hyperlink"/>
            <w:b/>
            <w:color w:val="87BE28"/>
            <w:sz w:val="22"/>
            <w:szCs w:val="22"/>
            <w:lang w:val="fr-FR"/>
          </w:rPr>
          <w:t xml:space="preserve"> 10</w:t>
        </w:r>
      </w:hyperlink>
      <w:r w:rsidR="00CF60E6" w:rsidRPr="00346A8A">
        <w:rPr>
          <w:b/>
          <w:color w:val="87BE28"/>
          <w:sz w:val="22"/>
          <w:szCs w:val="22"/>
          <w:lang w:val="fr-FR"/>
        </w:rPr>
        <w:tab/>
      </w:r>
      <w:r w:rsidR="00346A8A" w:rsidRPr="00963FF8">
        <w:rPr>
          <w:b/>
          <w:bCs/>
          <w:color w:val="87BE28"/>
          <w:sz w:val="22"/>
          <w:szCs w:val="22"/>
          <w:lang w:val="fr-FR"/>
        </w:rPr>
        <w:t>Exe</w:t>
      </w:r>
      <w:r w:rsidR="00CF60E6" w:rsidRPr="00963FF8">
        <w:rPr>
          <w:b/>
          <w:bCs/>
          <w:color w:val="87BE28"/>
          <w:sz w:val="22"/>
          <w:szCs w:val="22"/>
          <w:lang w:val="fr-FR"/>
        </w:rPr>
        <w:t>mple</w:t>
      </w:r>
      <w:r w:rsidR="00346A8A" w:rsidRPr="00963FF8">
        <w:rPr>
          <w:b/>
          <w:bCs/>
          <w:color w:val="87BE28"/>
          <w:sz w:val="22"/>
          <w:szCs w:val="22"/>
          <w:lang w:val="fr-FR"/>
        </w:rPr>
        <w:t xml:space="preserve"> des critères de control pour les feuilles de projet conjointes</w:t>
      </w:r>
      <w:r w:rsidR="00346A8A">
        <w:rPr>
          <w:bCs/>
          <w:color w:val="87BE28"/>
          <w:sz w:val="22"/>
          <w:szCs w:val="22"/>
          <w:lang w:val="fr-FR"/>
        </w:rPr>
        <w:t xml:space="preserve">  </w:t>
      </w:r>
      <w:r w:rsidR="00346A8A" w:rsidRPr="00346A8A">
        <w:rPr>
          <w:lang w:val="fr-FR"/>
        </w:rPr>
        <w:t xml:space="preserve"> </w:t>
      </w:r>
    </w:p>
    <w:p w14:paraId="2DF4E1A6" w14:textId="77777777" w:rsidR="00C12BE7" w:rsidRDefault="00C12BE7" w:rsidP="00C12BE7">
      <w:pPr>
        <w:spacing w:after="0" w:line="240" w:lineRule="auto"/>
        <w:ind w:left="1418" w:hanging="1058"/>
        <w:rPr>
          <w:bCs/>
          <w:iCs/>
          <w:color w:val="86789C"/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87BE28"/>
        <w:tblLook w:val="04A0" w:firstRow="1" w:lastRow="0" w:firstColumn="1" w:lastColumn="0" w:noHBand="0" w:noVBand="1"/>
      </w:tblPr>
      <w:tblGrid>
        <w:gridCol w:w="10790"/>
      </w:tblGrid>
      <w:tr w:rsidR="00C12BE7" w:rsidRPr="00C12BE7" w14:paraId="4AFEEF14" w14:textId="77777777" w:rsidTr="00C12BE7">
        <w:tc>
          <w:tcPr>
            <w:tcW w:w="10790" w:type="dxa"/>
            <w:shd w:val="clear" w:color="auto" w:fill="87BE28"/>
            <w:hideMark/>
          </w:tcPr>
          <w:p w14:paraId="2681574D" w14:textId="52317327" w:rsidR="00C12BE7" w:rsidRDefault="00C12BE7">
            <w:pPr>
              <w:jc w:val="center"/>
              <w:rPr>
                <w:b/>
                <w:bCs/>
                <w:color w:val="FFFFFF" w:themeColor="background1"/>
                <w:lang w:val="fr-FR"/>
              </w:rPr>
            </w:pPr>
            <w:r>
              <w:rPr>
                <w:b/>
                <w:bCs/>
                <w:color w:val="FFFFFF" w:themeColor="background1"/>
                <w:lang w:val="fr-FR"/>
              </w:rPr>
              <w:t xml:space="preserve">Pour toute contradiction, referez-vous à la </w:t>
            </w:r>
            <w:hyperlink r:id="rId12" w:history="1">
              <w:r>
                <w:rPr>
                  <w:rStyle w:val="Hyperlink"/>
                  <w:b/>
                  <w:bCs/>
                  <w:lang w:val="fr-FR"/>
                </w:rPr>
                <w:t>version anglaise</w:t>
              </w:r>
            </w:hyperlink>
          </w:p>
        </w:tc>
      </w:tr>
    </w:tbl>
    <w:p w14:paraId="025C1760" w14:textId="77777777" w:rsidR="00C12BE7" w:rsidRPr="00346A8A" w:rsidRDefault="00C12BE7" w:rsidP="00CF60E6">
      <w:pPr>
        <w:pStyle w:val="CommentText"/>
        <w:rPr>
          <w:b/>
          <w:color w:val="FFC000" w:themeColor="accent4"/>
          <w:sz w:val="22"/>
          <w:szCs w:val="22"/>
          <w:lang w:val="fr-FR"/>
        </w:rPr>
      </w:pPr>
    </w:p>
    <w:p w14:paraId="28C3EA52" w14:textId="1F1AAFC2" w:rsidR="00CF60E6" w:rsidRPr="00346A8A" w:rsidRDefault="00346A8A" w:rsidP="00CF60E6">
      <w:pPr>
        <w:pStyle w:val="CommentText"/>
        <w:rPr>
          <w:b/>
          <w:color w:val="87BE28"/>
          <w:sz w:val="22"/>
          <w:szCs w:val="22"/>
          <w:lang w:val="fr-FR"/>
        </w:rPr>
      </w:pPr>
      <w:bookmarkStart w:id="0" w:name="Annex9"/>
      <w:r w:rsidRPr="00346A8A">
        <w:rPr>
          <w:b/>
          <w:color w:val="87BE28"/>
          <w:sz w:val="22"/>
          <w:szCs w:val="22"/>
          <w:lang w:val="fr-FR"/>
        </w:rPr>
        <w:t xml:space="preserve"> </w:t>
      </w:r>
      <w:bookmarkEnd w:id="0"/>
      <w:r w:rsidRPr="00346A8A">
        <w:rPr>
          <w:lang w:val="fr-FR"/>
        </w:rPr>
        <w:t xml:space="preserve"> </w:t>
      </w:r>
      <w:r w:rsidRPr="00346A8A">
        <w:rPr>
          <w:b/>
          <w:color w:val="87BE28"/>
          <w:sz w:val="22"/>
          <w:szCs w:val="22"/>
          <w:lang w:val="fr-FR"/>
        </w:rPr>
        <w:t xml:space="preserve">Annexe </w:t>
      </w:r>
      <w:r w:rsidR="00A669CE" w:rsidRPr="00346A8A">
        <w:rPr>
          <w:b/>
          <w:color w:val="87BE28"/>
          <w:sz w:val="22"/>
          <w:szCs w:val="22"/>
          <w:lang w:val="fr-FR"/>
        </w:rPr>
        <w:t>9 :</w:t>
      </w:r>
      <w:r w:rsidRPr="00346A8A">
        <w:rPr>
          <w:b/>
          <w:color w:val="87BE28"/>
          <w:sz w:val="22"/>
          <w:szCs w:val="22"/>
          <w:lang w:val="fr-FR"/>
        </w:rPr>
        <w:t xml:space="preserve"> Exemple d’analyse globale des donateurs de premier plan, à adapter au niveau des pays</w:t>
      </w:r>
    </w:p>
    <w:p w14:paraId="687AF543" w14:textId="697F4839" w:rsidR="00CF60E6" w:rsidRDefault="00A669CE" w:rsidP="00CF60E6">
      <w:pPr>
        <w:pStyle w:val="CommentText"/>
        <w:numPr>
          <w:ilvl w:val="0"/>
          <w:numId w:val="20"/>
        </w:numPr>
        <w:rPr>
          <w:bCs/>
          <w:i/>
          <w:iCs/>
          <w:sz w:val="22"/>
          <w:szCs w:val="22"/>
          <w:lang w:val="fr-FR"/>
        </w:rPr>
      </w:pPr>
      <w:r w:rsidRPr="00A669CE">
        <w:rPr>
          <w:bCs/>
          <w:i/>
          <w:iCs/>
          <w:sz w:val="22"/>
          <w:szCs w:val="22"/>
          <w:lang w:val="fr-FR"/>
        </w:rPr>
        <w:t xml:space="preserve"> La présente annexe sera développée lors du pilotage du cadre au niveau des pays</w:t>
      </w:r>
      <w:r>
        <w:rPr>
          <w:bCs/>
          <w:i/>
          <w:iCs/>
          <w:sz w:val="22"/>
          <w:szCs w:val="22"/>
          <w:lang w:val="fr-FR"/>
        </w:rPr>
        <w:t xml:space="preserve"> août – octobre 2020</w:t>
      </w:r>
    </w:p>
    <w:p w14:paraId="5302A8CB" w14:textId="77777777" w:rsidR="00723BA4" w:rsidRPr="00723BA4" w:rsidRDefault="00723BA4" w:rsidP="00723BA4">
      <w:pPr>
        <w:pStyle w:val="CommentText"/>
        <w:ind w:left="1080"/>
        <w:rPr>
          <w:bCs/>
          <w:i/>
          <w:iCs/>
          <w:sz w:val="22"/>
          <w:szCs w:val="22"/>
          <w:lang w:val="fr-FR"/>
        </w:rPr>
      </w:pPr>
    </w:p>
    <w:p w14:paraId="14A46E91" w14:textId="4CBEB714" w:rsidR="000551DE" w:rsidRDefault="00D40600">
      <w:pPr>
        <w:rPr>
          <w:lang w:val="fr-FR"/>
        </w:rPr>
      </w:pPr>
      <w:hyperlink r:id="rId13" w:history="1">
        <w:r w:rsidR="00DF1825" w:rsidRPr="00723BA4">
          <w:rPr>
            <w:rStyle w:val="Hyperlink"/>
            <w:lang w:val="fr-FR"/>
          </w:rPr>
          <w:t>L’analyse DG ECHO</w:t>
        </w:r>
      </w:hyperlink>
      <w:r w:rsidR="00DF1825" w:rsidRPr="00DF1825">
        <w:rPr>
          <w:color w:val="4472C4" w:themeColor="accent1"/>
          <w:lang w:val="fr-FR"/>
        </w:rPr>
        <w:t xml:space="preserve"> </w:t>
      </w:r>
      <w:r w:rsidR="00DF1825" w:rsidRPr="00DF1825">
        <w:rPr>
          <w:lang w:val="fr-FR"/>
        </w:rPr>
        <w:t>des p</w:t>
      </w:r>
      <w:r w:rsidR="00DF1825">
        <w:rPr>
          <w:lang w:val="fr-FR"/>
        </w:rPr>
        <w:t>rojets liés à l’éducation en situation</w:t>
      </w:r>
      <w:r w:rsidR="00DF1825" w:rsidRPr="00DF1825">
        <w:rPr>
          <w:lang w:val="fr-FR"/>
        </w:rPr>
        <w:t xml:space="preserve"> d’urgence (</w:t>
      </w:r>
      <w:r w:rsidR="00723BA4">
        <w:rPr>
          <w:lang w:val="fr-FR"/>
        </w:rPr>
        <w:t>ESU</w:t>
      </w:r>
      <w:r w:rsidR="00DF1825" w:rsidRPr="00DF1825">
        <w:rPr>
          <w:lang w:val="fr-FR"/>
        </w:rPr>
        <w:t>) et</w:t>
      </w:r>
      <w:r w:rsidR="00DF1825">
        <w:rPr>
          <w:lang w:val="fr-FR"/>
        </w:rPr>
        <w:t xml:space="preserve"> les projets liés</w:t>
      </w:r>
      <w:r w:rsidR="00DF1825" w:rsidRPr="00DF1825">
        <w:rPr>
          <w:lang w:val="fr-FR"/>
        </w:rPr>
        <w:t xml:space="preserve"> à l’</w:t>
      </w:r>
      <w:r w:rsidR="00723BA4">
        <w:rPr>
          <w:lang w:val="fr-FR"/>
        </w:rPr>
        <w:t>ESU</w:t>
      </w:r>
      <w:r w:rsidR="00DF1825" w:rsidRPr="00DF1825">
        <w:rPr>
          <w:lang w:val="fr-FR"/>
        </w:rPr>
        <w:t xml:space="preserve"> approuvés et financés entre 2015 et 2019 indique les tendances suivantes pour la programmation intégrée du </w:t>
      </w:r>
      <w:r w:rsidR="00723BA4">
        <w:rPr>
          <w:lang w:val="fr-FR"/>
        </w:rPr>
        <w:t>PE</w:t>
      </w:r>
      <w:r w:rsidR="00DF1825" w:rsidRPr="00DF1825">
        <w:rPr>
          <w:lang w:val="fr-FR"/>
        </w:rPr>
        <w:t>-</w:t>
      </w:r>
      <w:r w:rsidR="00723BA4">
        <w:rPr>
          <w:lang w:val="fr-FR"/>
        </w:rPr>
        <w:t>ESU</w:t>
      </w:r>
      <w:r w:rsidR="00DF1825" w:rsidRPr="00DF1825">
        <w:rPr>
          <w:lang w:val="fr-FR"/>
        </w:rPr>
        <w:t xml:space="preserve"> parmi les projets examinés :  </w:t>
      </w:r>
      <w:r w:rsidR="00DF1825">
        <w:rPr>
          <w:lang w:val="fr-FR"/>
        </w:rPr>
        <w:t xml:space="preserve"> </w:t>
      </w:r>
    </w:p>
    <w:p w14:paraId="1474FA2C" w14:textId="7A1A0DB8" w:rsidR="0078062C" w:rsidRPr="0078062C" w:rsidRDefault="0078062C" w:rsidP="00723BA4">
      <w:pPr>
        <w:spacing w:after="0"/>
        <w:rPr>
          <w:lang w:val="fr-FR"/>
        </w:rPr>
      </w:pPr>
      <w:r>
        <w:rPr>
          <w:lang w:val="fr-FR"/>
        </w:rPr>
        <w:t xml:space="preserve">       •    77</w:t>
      </w:r>
      <w:r w:rsidRPr="0078062C">
        <w:rPr>
          <w:lang w:val="fr-FR"/>
        </w:rPr>
        <w:t xml:space="preserve">% des </w:t>
      </w:r>
      <w:r w:rsidR="00A96FC8">
        <w:rPr>
          <w:lang w:val="fr-FR"/>
        </w:rPr>
        <w:t>projets étaient multisectoriels</w:t>
      </w:r>
      <w:r w:rsidRPr="0078062C">
        <w:rPr>
          <w:lang w:val="fr-FR"/>
        </w:rPr>
        <w:t xml:space="preserve"> avec des résultats, des activités et des indicateurs propres au secteur</w:t>
      </w:r>
    </w:p>
    <w:p w14:paraId="66AE23AD" w14:textId="2EE24F3C" w:rsidR="0078062C" w:rsidRPr="0078062C" w:rsidRDefault="0078062C" w:rsidP="00723BA4">
      <w:pPr>
        <w:spacing w:after="0"/>
        <w:rPr>
          <w:lang w:val="fr-FR"/>
        </w:rPr>
      </w:pPr>
      <w:r>
        <w:rPr>
          <w:lang w:val="fr-FR"/>
        </w:rPr>
        <w:t xml:space="preserve">       </w:t>
      </w:r>
      <w:r w:rsidRPr="0078062C">
        <w:rPr>
          <w:lang w:val="fr-FR"/>
        </w:rPr>
        <w:t>•</w:t>
      </w:r>
      <w:r>
        <w:rPr>
          <w:lang w:val="fr-FR"/>
        </w:rPr>
        <w:t xml:space="preserve">   </w:t>
      </w:r>
      <w:r w:rsidRPr="0078062C">
        <w:rPr>
          <w:lang w:val="fr-FR"/>
        </w:rPr>
        <w:t xml:space="preserve"> 66 % des projets contiennent des activités de protection de l’enfance liées à l’éducation</w:t>
      </w:r>
    </w:p>
    <w:p w14:paraId="419B9ECE" w14:textId="20DEE974" w:rsidR="0078062C" w:rsidRPr="0078062C" w:rsidRDefault="0078062C" w:rsidP="00723BA4">
      <w:pPr>
        <w:spacing w:after="0"/>
        <w:rPr>
          <w:lang w:val="fr-FR"/>
        </w:rPr>
      </w:pPr>
      <w:r>
        <w:rPr>
          <w:lang w:val="fr-FR"/>
        </w:rPr>
        <w:t xml:space="preserve">       </w:t>
      </w:r>
      <w:r w:rsidRPr="0078062C">
        <w:rPr>
          <w:lang w:val="fr-FR"/>
        </w:rPr>
        <w:t xml:space="preserve">• </w:t>
      </w:r>
      <w:r>
        <w:rPr>
          <w:lang w:val="fr-FR"/>
        </w:rPr>
        <w:t xml:space="preserve">   </w:t>
      </w:r>
      <w:r w:rsidRPr="0078062C">
        <w:rPr>
          <w:b/>
          <w:color w:val="70AD47" w:themeColor="accent6"/>
          <w:lang w:val="fr-FR"/>
        </w:rPr>
        <w:t>Sensibilisation, mobilisation et sensibilisation de la communauté</w:t>
      </w:r>
      <w:r w:rsidRPr="0078062C">
        <w:rPr>
          <w:color w:val="70AD47" w:themeColor="accent6"/>
          <w:lang w:val="fr-FR"/>
        </w:rPr>
        <w:t xml:space="preserve"> </w:t>
      </w:r>
      <w:r w:rsidRPr="0078062C">
        <w:rPr>
          <w:b/>
          <w:lang w:val="fr-FR"/>
        </w:rPr>
        <w:t>dans 82 %</w:t>
      </w:r>
      <w:r w:rsidRPr="0078062C">
        <w:rPr>
          <w:lang w:val="fr-FR"/>
        </w:rPr>
        <w:t xml:space="preserve"> des projets :</w:t>
      </w:r>
    </w:p>
    <w:p w14:paraId="0A282173" w14:textId="43DBF477" w:rsidR="0078062C" w:rsidRPr="00EE1807" w:rsidRDefault="0078062C" w:rsidP="00723BA4">
      <w:pPr>
        <w:pStyle w:val="ListParagraph"/>
        <w:numPr>
          <w:ilvl w:val="0"/>
          <w:numId w:val="22"/>
        </w:numPr>
        <w:spacing w:after="0"/>
        <w:rPr>
          <w:lang w:val="fr-FR"/>
        </w:rPr>
      </w:pPr>
      <w:r w:rsidRPr="00EE1807">
        <w:rPr>
          <w:lang w:val="fr-FR"/>
        </w:rPr>
        <w:t xml:space="preserve">Inscriptions et campagnes de rentrée scolaire (56 %) </w:t>
      </w:r>
    </w:p>
    <w:p w14:paraId="4097FFBC" w14:textId="3119CD8D" w:rsidR="0078062C" w:rsidRPr="00EE1807" w:rsidRDefault="0078062C" w:rsidP="00723BA4">
      <w:pPr>
        <w:pStyle w:val="ListParagraph"/>
        <w:numPr>
          <w:ilvl w:val="0"/>
          <w:numId w:val="24"/>
        </w:numPr>
        <w:spacing w:after="0"/>
        <w:rPr>
          <w:lang w:val="fr-FR"/>
        </w:rPr>
      </w:pPr>
      <w:r w:rsidRPr="00EE1807">
        <w:rPr>
          <w:lang w:val="fr-FR"/>
        </w:rPr>
        <w:t>Risques pour la protection de l’enfance auxquels sont confrontés les enfants (51 %) : séparation de la   famille, enlèvement, recrutement armé, violence sexuelle, droits de l’enfant, conseils psychosociaux pour faire face aux réactions à un stress ou à un traumatisme grave</w:t>
      </w:r>
    </w:p>
    <w:p w14:paraId="46459198" w14:textId="457105BA" w:rsidR="0078062C" w:rsidRPr="00EE1807" w:rsidRDefault="0078062C" w:rsidP="00723BA4">
      <w:pPr>
        <w:pStyle w:val="ListParagraph"/>
        <w:numPr>
          <w:ilvl w:val="0"/>
          <w:numId w:val="26"/>
        </w:numPr>
        <w:spacing w:after="0"/>
        <w:rPr>
          <w:lang w:val="fr-FR"/>
        </w:rPr>
      </w:pPr>
      <w:r w:rsidRPr="00EE1807">
        <w:rPr>
          <w:lang w:val="fr-FR"/>
        </w:rPr>
        <w:t>Réduction des risques liés aux conflits et aux catastrophes (35 %) : cartographie des risques scolaires, plans de sécurité et/ou de préparation à l’école</w:t>
      </w:r>
    </w:p>
    <w:p w14:paraId="750B8683" w14:textId="77777777" w:rsidR="004608C0" w:rsidRPr="004608C0" w:rsidRDefault="004608C0" w:rsidP="00723BA4">
      <w:pPr>
        <w:spacing w:after="0"/>
        <w:rPr>
          <w:lang w:val="fr-FR"/>
        </w:rPr>
      </w:pPr>
      <w:r>
        <w:rPr>
          <w:lang w:val="fr-FR"/>
        </w:rPr>
        <w:t xml:space="preserve">       </w:t>
      </w:r>
      <w:r w:rsidRPr="004608C0">
        <w:rPr>
          <w:lang w:val="fr-FR"/>
        </w:rPr>
        <w:t xml:space="preserve">• </w:t>
      </w:r>
      <w:r w:rsidRPr="004608C0">
        <w:rPr>
          <w:b/>
          <w:color w:val="70AD47" w:themeColor="accent6"/>
          <w:lang w:val="fr-FR"/>
        </w:rPr>
        <w:t xml:space="preserve">Activités de soutien psychosocial (SFP) </w:t>
      </w:r>
      <w:r w:rsidRPr="004608C0">
        <w:rPr>
          <w:b/>
          <w:lang w:val="fr-FR"/>
        </w:rPr>
        <w:t>dans 73 %</w:t>
      </w:r>
      <w:r w:rsidRPr="004608C0">
        <w:rPr>
          <w:lang w:val="fr-FR"/>
        </w:rPr>
        <w:t xml:space="preserve"> des projets</w:t>
      </w:r>
    </w:p>
    <w:p w14:paraId="56344A52" w14:textId="79D70E63" w:rsidR="004608C0" w:rsidRPr="00EE1807" w:rsidRDefault="004608C0" w:rsidP="00723BA4">
      <w:pPr>
        <w:pStyle w:val="ListParagraph"/>
        <w:numPr>
          <w:ilvl w:val="0"/>
          <w:numId w:val="28"/>
        </w:numPr>
        <w:spacing w:after="0"/>
        <w:rPr>
          <w:lang w:val="fr-FR"/>
        </w:rPr>
      </w:pPr>
      <w:r w:rsidRPr="00EE1807">
        <w:rPr>
          <w:lang w:val="fr-FR"/>
        </w:rPr>
        <w:t xml:space="preserve">49 % des projets mènent des activités de soutien psychosocial (SFP) directement avec les enfants </w:t>
      </w:r>
    </w:p>
    <w:p w14:paraId="2F141A03" w14:textId="12B0920E" w:rsidR="004608C0" w:rsidRPr="00EE1807" w:rsidRDefault="004608C0" w:rsidP="00723BA4">
      <w:pPr>
        <w:pStyle w:val="ListParagraph"/>
        <w:numPr>
          <w:ilvl w:val="0"/>
          <w:numId w:val="30"/>
        </w:numPr>
        <w:spacing w:after="0"/>
        <w:rPr>
          <w:lang w:val="fr-FR"/>
        </w:rPr>
      </w:pPr>
      <w:r w:rsidRPr="00EE1807">
        <w:rPr>
          <w:lang w:val="fr-FR"/>
        </w:rPr>
        <w:t>58 % des projets examinés sont des enseignants de formation et d’autres membres du personnel     d’éducation sur le soutien psychosocial et les premiers soins psychologiques (SFP/PFA)</w:t>
      </w:r>
    </w:p>
    <w:p w14:paraId="7B2D491D" w14:textId="6F5E62CD" w:rsidR="0078062C" w:rsidRPr="00EE1807" w:rsidRDefault="004608C0" w:rsidP="00723BA4">
      <w:pPr>
        <w:pStyle w:val="ListParagraph"/>
        <w:numPr>
          <w:ilvl w:val="0"/>
          <w:numId w:val="32"/>
        </w:numPr>
        <w:spacing w:after="0"/>
        <w:rPr>
          <w:lang w:val="fr-FR"/>
        </w:rPr>
      </w:pPr>
      <w:r w:rsidRPr="00EE1807">
        <w:rPr>
          <w:lang w:val="fr-FR"/>
        </w:rPr>
        <w:t>10 % des projets comprennent des activités pour les besoins de soutien psychosocial des enseignants, des autres membres du personnel éducatif et des soignants</w:t>
      </w:r>
    </w:p>
    <w:p w14:paraId="0B84B608" w14:textId="3FC7195B" w:rsidR="00E544A1" w:rsidRPr="00E544A1" w:rsidRDefault="00E544A1" w:rsidP="00723BA4">
      <w:pPr>
        <w:spacing w:after="0"/>
        <w:ind w:left="709" w:hanging="709"/>
        <w:rPr>
          <w:lang w:val="fr-FR"/>
        </w:rPr>
      </w:pPr>
      <w:r>
        <w:rPr>
          <w:lang w:val="fr-FR"/>
        </w:rPr>
        <w:t xml:space="preserve">        </w:t>
      </w:r>
      <w:r w:rsidRPr="00EE1807">
        <w:rPr>
          <w:b/>
          <w:lang w:val="fr-FR"/>
        </w:rPr>
        <w:t xml:space="preserve">•   </w:t>
      </w:r>
      <w:r w:rsidR="00CB7789" w:rsidRPr="00EE1807">
        <w:rPr>
          <w:b/>
          <w:lang w:val="fr-FR"/>
        </w:rPr>
        <w:t xml:space="preserve"> </w:t>
      </w:r>
      <w:r w:rsidR="00CB7789" w:rsidRPr="00CB7789">
        <w:rPr>
          <w:b/>
          <w:color w:val="70AD47" w:themeColor="accent6"/>
          <w:lang w:val="fr-FR"/>
        </w:rPr>
        <w:t>Éducation vivifiante</w:t>
      </w:r>
      <w:r w:rsidRPr="00CB7789">
        <w:rPr>
          <w:b/>
          <w:color w:val="70AD47" w:themeColor="accent6"/>
          <w:lang w:val="fr-FR"/>
        </w:rPr>
        <w:t xml:space="preserve"> et</w:t>
      </w:r>
      <w:r w:rsidR="00CB7789" w:rsidRPr="00CB7789">
        <w:rPr>
          <w:b/>
          <w:color w:val="70AD47" w:themeColor="accent6"/>
          <w:lang w:val="fr-FR"/>
        </w:rPr>
        <w:t xml:space="preserve"> éducation aux aptitudes de</w:t>
      </w:r>
      <w:r w:rsidRPr="00CB7789">
        <w:rPr>
          <w:b/>
          <w:color w:val="70AD47" w:themeColor="accent6"/>
          <w:lang w:val="fr-FR"/>
        </w:rPr>
        <w:t xml:space="preserve"> la vie quotidienne </w:t>
      </w:r>
      <w:r w:rsidRPr="00CB7789">
        <w:rPr>
          <w:b/>
          <w:lang w:val="fr-FR"/>
        </w:rPr>
        <w:t>dans 65 %</w:t>
      </w:r>
      <w:r w:rsidRPr="00E544A1">
        <w:rPr>
          <w:lang w:val="fr-FR"/>
        </w:rPr>
        <w:t xml:space="preserve"> des projets sur des sujets d’hygiène (26 %), de réduction des risques liés aux conflits et aux catastrophes (25 %), de la santé (19 %) et de l’éducation sur les risques liés aux mines (10 %)</w:t>
      </w:r>
    </w:p>
    <w:p w14:paraId="7D481730" w14:textId="100D9F1B" w:rsidR="00E544A1" w:rsidRPr="00E544A1" w:rsidRDefault="00E544A1" w:rsidP="00723BA4">
      <w:pPr>
        <w:spacing w:after="0"/>
        <w:ind w:left="709" w:hanging="709"/>
        <w:rPr>
          <w:lang w:val="fr-FR"/>
        </w:rPr>
      </w:pPr>
      <w:r>
        <w:rPr>
          <w:lang w:val="fr-FR"/>
        </w:rPr>
        <w:t xml:space="preserve">       </w:t>
      </w:r>
      <w:r w:rsidRPr="00E544A1">
        <w:rPr>
          <w:lang w:val="fr-FR"/>
        </w:rPr>
        <w:t xml:space="preserve">• </w:t>
      </w:r>
      <w:r>
        <w:rPr>
          <w:lang w:val="fr-FR"/>
        </w:rPr>
        <w:t xml:space="preserve">    </w:t>
      </w:r>
      <w:r w:rsidRPr="00CB7789">
        <w:rPr>
          <w:b/>
          <w:color w:val="70AD47" w:themeColor="accent6"/>
          <w:lang w:val="fr-FR"/>
        </w:rPr>
        <w:t>Formation d</w:t>
      </w:r>
      <w:r w:rsidR="00CB7789" w:rsidRPr="00CB7789">
        <w:rPr>
          <w:b/>
          <w:color w:val="70AD47" w:themeColor="accent6"/>
          <w:lang w:val="fr-FR"/>
        </w:rPr>
        <w:t>es enseignants sur</w:t>
      </w:r>
      <w:r w:rsidR="00CB7789">
        <w:rPr>
          <w:b/>
          <w:color w:val="70AD47" w:themeColor="accent6"/>
          <w:lang w:val="fr-FR"/>
        </w:rPr>
        <w:t xml:space="preserve"> les sujets concernant</w:t>
      </w:r>
      <w:r w:rsidR="00CB7789" w:rsidRPr="00CB7789">
        <w:rPr>
          <w:b/>
          <w:color w:val="70AD47" w:themeColor="accent6"/>
          <w:lang w:val="fr-FR"/>
        </w:rPr>
        <w:t xml:space="preserve"> le</w:t>
      </w:r>
      <w:r w:rsidRPr="00CB7789">
        <w:rPr>
          <w:b/>
          <w:color w:val="70AD47" w:themeColor="accent6"/>
          <w:lang w:val="fr-FR"/>
        </w:rPr>
        <w:t xml:space="preserve"> bien-être des enfants </w:t>
      </w:r>
      <w:r w:rsidRPr="00CB7789">
        <w:rPr>
          <w:b/>
          <w:lang w:val="fr-FR"/>
        </w:rPr>
        <w:t>dans 54 %</w:t>
      </w:r>
      <w:r w:rsidRPr="00E544A1">
        <w:rPr>
          <w:lang w:val="fr-FR"/>
        </w:rPr>
        <w:t xml:space="preserve"> (sur la protection de l’enfance, les droits de l’enfant et la protection des enfants)</w:t>
      </w:r>
    </w:p>
    <w:p w14:paraId="51AE74D0" w14:textId="1FFE3375" w:rsidR="00E544A1" w:rsidRPr="00E544A1" w:rsidRDefault="00E544A1" w:rsidP="00723BA4">
      <w:pPr>
        <w:spacing w:after="0"/>
        <w:rPr>
          <w:lang w:val="fr-FR"/>
        </w:rPr>
      </w:pPr>
      <w:r>
        <w:rPr>
          <w:lang w:val="fr-FR"/>
        </w:rPr>
        <w:t xml:space="preserve">       </w:t>
      </w:r>
      <w:r w:rsidRPr="00CB7789">
        <w:rPr>
          <w:b/>
          <w:color w:val="70AD47" w:themeColor="accent6"/>
          <w:lang w:val="fr-FR"/>
        </w:rPr>
        <w:t xml:space="preserve">•     </w:t>
      </w:r>
      <w:r w:rsidR="00CB7789">
        <w:rPr>
          <w:b/>
          <w:color w:val="70AD47" w:themeColor="accent6"/>
          <w:lang w:val="fr-FR"/>
        </w:rPr>
        <w:t>Mécanismes de référence</w:t>
      </w:r>
      <w:r w:rsidRPr="00CB7789">
        <w:rPr>
          <w:b/>
          <w:color w:val="70AD47" w:themeColor="accent6"/>
          <w:lang w:val="fr-FR"/>
        </w:rPr>
        <w:t xml:space="preserve"> </w:t>
      </w:r>
      <w:r w:rsidRPr="00CB7789">
        <w:rPr>
          <w:b/>
          <w:lang w:val="fr-FR"/>
        </w:rPr>
        <w:t>dans 41 %</w:t>
      </w:r>
      <w:r w:rsidRPr="00E544A1">
        <w:rPr>
          <w:lang w:val="fr-FR"/>
        </w:rPr>
        <w:t xml:space="preserve"> (y compris l’élaboration, la formation et la mise en œuvre)</w:t>
      </w:r>
    </w:p>
    <w:p w14:paraId="2CC42A74" w14:textId="5316D4ED" w:rsidR="00E544A1" w:rsidRPr="00EE1807" w:rsidRDefault="00E544A1" w:rsidP="00723BA4">
      <w:pPr>
        <w:pStyle w:val="ListParagraph"/>
        <w:numPr>
          <w:ilvl w:val="0"/>
          <w:numId w:val="34"/>
        </w:numPr>
        <w:spacing w:after="0"/>
        <w:rPr>
          <w:lang w:val="fr-FR"/>
        </w:rPr>
      </w:pPr>
      <w:r w:rsidRPr="00EE1807">
        <w:rPr>
          <w:lang w:val="fr-FR"/>
        </w:rPr>
        <w:t xml:space="preserve">17 % des projets font de la </w:t>
      </w:r>
      <w:r w:rsidRPr="00EE1807">
        <w:rPr>
          <w:color w:val="70AD47" w:themeColor="accent6"/>
          <w:lang w:val="fr-FR"/>
        </w:rPr>
        <w:t>gestion des cas</w:t>
      </w:r>
      <w:r w:rsidRPr="00EE1807">
        <w:rPr>
          <w:lang w:val="fr-FR"/>
        </w:rPr>
        <w:t>, avec un gestionnaire de cas affecté et formé qui travaille directement avec l’enfant référé à l’école et par le biais de visites à domicile</w:t>
      </w:r>
    </w:p>
    <w:p w14:paraId="7C9D6447" w14:textId="00421055" w:rsidR="00E544A1" w:rsidRPr="00E544A1" w:rsidRDefault="00CB7789" w:rsidP="00723BA4">
      <w:pPr>
        <w:spacing w:after="0"/>
        <w:rPr>
          <w:lang w:val="fr-FR"/>
        </w:rPr>
      </w:pPr>
      <w:r>
        <w:rPr>
          <w:lang w:val="fr-FR"/>
        </w:rPr>
        <w:t xml:space="preserve">       </w:t>
      </w:r>
      <w:r w:rsidR="00E544A1" w:rsidRPr="00E544A1">
        <w:rPr>
          <w:lang w:val="fr-FR"/>
        </w:rPr>
        <w:t xml:space="preserve">• </w:t>
      </w:r>
      <w:r>
        <w:rPr>
          <w:lang w:val="fr-FR"/>
        </w:rPr>
        <w:t xml:space="preserve">    </w:t>
      </w:r>
      <w:r w:rsidR="00E544A1" w:rsidRPr="00E544A1">
        <w:rPr>
          <w:lang w:val="fr-FR"/>
        </w:rPr>
        <w:t xml:space="preserve">28 % mènent des </w:t>
      </w:r>
      <w:r w:rsidR="00E544A1" w:rsidRPr="00CB7789">
        <w:rPr>
          <w:b/>
          <w:color w:val="70AD47" w:themeColor="accent6"/>
          <w:lang w:val="fr-FR"/>
        </w:rPr>
        <w:t>activités de protection</w:t>
      </w:r>
      <w:r w:rsidR="00E544A1" w:rsidRPr="00CB7789">
        <w:rPr>
          <w:color w:val="70AD47" w:themeColor="accent6"/>
          <w:lang w:val="fr-FR"/>
        </w:rPr>
        <w:t xml:space="preserve"> </w:t>
      </w:r>
      <w:r w:rsidR="00E544A1" w:rsidRPr="00E544A1">
        <w:rPr>
          <w:lang w:val="fr-FR"/>
        </w:rPr>
        <w:t>des enfants</w:t>
      </w:r>
    </w:p>
    <w:p w14:paraId="12BBDE43" w14:textId="0E5C510C" w:rsidR="004608C0" w:rsidRPr="00DF1825" w:rsidRDefault="00CB7789" w:rsidP="00723BA4">
      <w:pPr>
        <w:spacing w:after="0"/>
        <w:rPr>
          <w:lang w:val="fr-FR"/>
        </w:rPr>
      </w:pPr>
      <w:r>
        <w:rPr>
          <w:lang w:val="fr-FR"/>
        </w:rPr>
        <w:t xml:space="preserve">       </w:t>
      </w:r>
      <w:r w:rsidR="00E544A1" w:rsidRPr="00E544A1">
        <w:rPr>
          <w:lang w:val="fr-FR"/>
        </w:rPr>
        <w:t xml:space="preserve">• </w:t>
      </w:r>
      <w:r>
        <w:rPr>
          <w:lang w:val="fr-FR"/>
        </w:rPr>
        <w:t xml:space="preserve">    </w:t>
      </w:r>
      <w:r w:rsidR="00E544A1" w:rsidRPr="00E544A1">
        <w:rPr>
          <w:lang w:val="fr-FR"/>
        </w:rPr>
        <w:t xml:space="preserve">15 % effectuent des activités du </w:t>
      </w:r>
      <w:r w:rsidR="00E544A1" w:rsidRPr="00CB7789">
        <w:rPr>
          <w:b/>
          <w:color w:val="70AD47" w:themeColor="accent6"/>
          <w:lang w:val="fr-FR"/>
        </w:rPr>
        <w:t>Code de conduite</w:t>
      </w:r>
      <w:r w:rsidR="00E544A1" w:rsidRPr="00E544A1">
        <w:rPr>
          <w:lang w:val="fr-FR"/>
        </w:rPr>
        <w:t>, qui mettent généralement l’accent sur les questions de châtiments corporels ou de discipline po</w:t>
      </w:r>
      <w:r w:rsidR="005E6864">
        <w:rPr>
          <w:lang w:val="fr-FR"/>
        </w:rPr>
        <w:t>sitive, d’inclusion, de VGB/PSEA</w:t>
      </w:r>
      <w:r w:rsidR="00E544A1" w:rsidRPr="00E544A1">
        <w:rPr>
          <w:lang w:val="fr-FR"/>
        </w:rPr>
        <w:t>, et d’autres sujets connexes liés à la protection de l’enfance et à la protection des enfants.</w:t>
      </w:r>
    </w:p>
    <w:p w14:paraId="1D46FABE" w14:textId="268AE77B" w:rsidR="00EA23A6" w:rsidRPr="00EA23A6" w:rsidRDefault="00EA23A6" w:rsidP="00723BA4">
      <w:pPr>
        <w:spacing w:after="0"/>
        <w:ind w:left="360"/>
        <w:rPr>
          <w:i/>
          <w:iCs/>
          <w:lang w:val="fr-FR"/>
        </w:rPr>
      </w:pPr>
      <w:r w:rsidRPr="00EA23A6">
        <w:rPr>
          <w:i/>
          <w:iCs/>
          <w:lang w:val="fr-FR"/>
        </w:rPr>
        <w:t>« L’UE plaide pour que les systèmes éducatifs donnent la priorité à la protection à tous les niveaux. À l’appui de cette orientation, la DG ECHO soutient des projets visant à mettre fin aux attaques contre l’éducation, intègre un soutien psychosocial (PSS) et l’apprentissage social et émotionnel (SEL), prévient et répond à la violence sexiste à l’école (SRGBV) et favorise les liens entre les secteurs afin de renforcer les cadres de protection des enfants.</w:t>
      </w:r>
    </w:p>
    <w:p w14:paraId="50200CBE" w14:textId="4E1B7748" w:rsidR="00CF60E6" w:rsidRDefault="000551DE" w:rsidP="00C12BE7">
      <w:pPr>
        <w:rPr>
          <w:b/>
          <w:color w:val="87BE28"/>
          <w:lang w:val="fr-FR"/>
        </w:rPr>
      </w:pPr>
      <w:r w:rsidRPr="00A8679F">
        <w:rPr>
          <w:b/>
          <w:color w:val="87BE28"/>
          <w:lang w:val="fr-FR"/>
        </w:rPr>
        <w:br w:type="page"/>
      </w:r>
      <w:bookmarkStart w:id="1" w:name="Annex10"/>
      <w:r w:rsidR="00CF60E6" w:rsidRPr="00963FF8">
        <w:rPr>
          <w:b/>
          <w:color w:val="87BE28"/>
          <w:lang w:val="fr-FR"/>
        </w:rPr>
        <w:lastRenderedPageBreak/>
        <w:t>Annex</w:t>
      </w:r>
      <w:r w:rsidR="00963FF8" w:rsidRPr="00963FF8">
        <w:rPr>
          <w:b/>
          <w:color w:val="87BE28"/>
          <w:lang w:val="fr-FR"/>
        </w:rPr>
        <w:t>e</w:t>
      </w:r>
      <w:r w:rsidR="00CF60E6" w:rsidRPr="00963FF8">
        <w:rPr>
          <w:b/>
          <w:color w:val="87BE28"/>
          <w:lang w:val="fr-FR"/>
        </w:rPr>
        <w:t xml:space="preserve"> </w:t>
      </w:r>
      <w:bookmarkEnd w:id="1"/>
      <w:r w:rsidR="00963FF8" w:rsidRPr="00963FF8">
        <w:rPr>
          <w:b/>
          <w:color w:val="87BE28"/>
          <w:lang w:val="fr-FR"/>
        </w:rPr>
        <w:t>10 :</w:t>
      </w:r>
      <w:r w:rsidR="00CF60E6" w:rsidRPr="00963FF8">
        <w:rPr>
          <w:b/>
          <w:color w:val="87BE28"/>
          <w:lang w:val="fr-FR"/>
        </w:rPr>
        <w:t xml:space="preserve"> </w:t>
      </w:r>
      <w:r w:rsidR="00963FF8" w:rsidRPr="00963FF8">
        <w:rPr>
          <w:b/>
          <w:bCs/>
          <w:color w:val="87BE28"/>
          <w:lang w:val="fr-FR"/>
        </w:rPr>
        <w:t>Exemple des critères de control pour les feuilles de projet conjointes</w:t>
      </w:r>
      <w:r w:rsidR="00963FF8">
        <w:rPr>
          <w:bCs/>
          <w:color w:val="87BE28"/>
          <w:lang w:val="fr-FR"/>
        </w:rPr>
        <w:t xml:space="preserve">  </w:t>
      </w:r>
      <w:r w:rsidR="00963FF8" w:rsidRPr="00346A8A">
        <w:rPr>
          <w:lang w:val="fr-FR"/>
        </w:rPr>
        <w:t xml:space="preserve"> </w:t>
      </w:r>
      <w:r w:rsidR="00963FF8" w:rsidRPr="00963FF8">
        <w:rPr>
          <w:b/>
          <w:color w:val="87BE28"/>
          <w:lang w:val="fr-FR"/>
        </w:rPr>
        <w:t xml:space="preserve">  </w:t>
      </w:r>
    </w:p>
    <w:p w14:paraId="7F6C063C" w14:textId="53028619" w:rsidR="00E273FE" w:rsidRPr="00E273FE" w:rsidRDefault="00E273FE" w:rsidP="00E273FE">
      <w:pPr>
        <w:pStyle w:val="CommentText"/>
        <w:rPr>
          <w:sz w:val="22"/>
          <w:szCs w:val="22"/>
          <w:lang w:val="fr-FR"/>
        </w:rPr>
      </w:pPr>
      <w:r w:rsidRPr="00E273FE">
        <w:rPr>
          <w:sz w:val="22"/>
          <w:szCs w:val="22"/>
          <w:lang w:val="fr-FR"/>
        </w:rPr>
        <w:t>Les feuilles de projets multisectoriels peuvent créer des défis lors de l’ex</w:t>
      </w:r>
      <w:r>
        <w:rPr>
          <w:sz w:val="22"/>
          <w:szCs w:val="22"/>
          <w:lang w:val="fr-FR"/>
        </w:rPr>
        <w:t>amen. Par exemple, chaque cluster</w:t>
      </w:r>
      <w:r w:rsidRPr="00E273FE">
        <w:rPr>
          <w:sz w:val="22"/>
          <w:szCs w:val="22"/>
          <w:lang w:val="fr-FR"/>
        </w:rPr>
        <w:t xml:space="preserve"> aurait généralement ses propres comités d’examen, qui pourraient parfois avoir des commentaires différents, voire contradictoires.</w:t>
      </w:r>
      <w:r>
        <w:rPr>
          <w:sz w:val="22"/>
          <w:szCs w:val="22"/>
          <w:lang w:val="fr-FR"/>
        </w:rPr>
        <w:t xml:space="preserve"> La convocation des deux clusters</w:t>
      </w:r>
      <w:r w:rsidRPr="00E273FE">
        <w:rPr>
          <w:sz w:val="22"/>
          <w:szCs w:val="22"/>
          <w:lang w:val="fr-FR"/>
        </w:rPr>
        <w:t xml:space="preserve"> (coordonnateurs et comités d’examen) peut également être difficile sur le plan logistique.</w:t>
      </w:r>
    </w:p>
    <w:p w14:paraId="6E382FD1" w14:textId="233657E9" w:rsidR="00E273FE" w:rsidRPr="00E273FE" w:rsidRDefault="00E273FE" w:rsidP="00E273FE">
      <w:pPr>
        <w:pStyle w:val="CommentText"/>
        <w:rPr>
          <w:sz w:val="22"/>
          <w:szCs w:val="22"/>
          <w:lang w:val="fr-FR"/>
        </w:rPr>
      </w:pPr>
      <w:r w:rsidRPr="00E273FE">
        <w:rPr>
          <w:sz w:val="22"/>
          <w:szCs w:val="22"/>
          <w:lang w:val="fr-FR"/>
        </w:rPr>
        <w:t>Il est important d’adopter une approche pro</w:t>
      </w:r>
      <w:r>
        <w:rPr>
          <w:sz w:val="22"/>
          <w:szCs w:val="22"/>
          <w:lang w:val="fr-FR"/>
        </w:rPr>
        <w:t>a</w:t>
      </w:r>
      <w:r w:rsidRPr="00E273FE">
        <w:rPr>
          <w:sz w:val="22"/>
          <w:szCs w:val="22"/>
          <w:lang w:val="fr-FR"/>
        </w:rPr>
        <w:t>ctive de la</w:t>
      </w:r>
      <w:r>
        <w:rPr>
          <w:sz w:val="22"/>
          <w:szCs w:val="22"/>
          <w:lang w:val="fr-FR"/>
        </w:rPr>
        <w:t xml:space="preserve"> collaboration dans les</w:t>
      </w:r>
      <w:r w:rsidRPr="00E273FE">
        <w:rPr>
          <w:sz w:val="22"/>
          <w:szCs w:val="22"/>
          <w:lang w:val="fr-FR"/>
        </w:rPr>
        <w:t xml:space="preserve"> projets multisectoriels et peut faciliter une plus grande intégration intersectorielle (voire obligatoire). Quelques conseils pour la collaboration sur l’examen des projets :</w:t>
      </w:r>
    </w:p>
    <w:p w14:paraId="7C8F6739" w14:textId="60B66EEE" w:rsidR="00E273FE" w:rsidRPr="00E273FE" w:rsidRDefault="00E273FE" w:rsidP="00E273FE">
      <w:pPr>
        <w:pStyle w:val="CommentText"/>
        <w:rPr>
          <w:sz w:val="22"/>
          <w:szCs w:val="22"/>
          <w:lang w:val="fr-FR"/>
        </w:rPr>
      </w:pPr>
      <w:r w:rsidRPr="00E273FE">
        <w:rPr>
          <w:sz w:val="22"/>
          <w:szCs w:val="22"/>
          <w:lang w:val="fr-FR"/>
        </w:rPr>
        <w:t xml:space="preserve">• Envisager des comités d’examen conjoints du </w:t>
      </w:r>
      <w:r w:rsidR="00723BA4">
        <w:rPr>
          <w:sz w:val="22"/>
          <w:szCs w:val="22"/>
          <w:lang w:val="fr-FR"/>
        </w:rPr>
        <w:t>PE</w:t>
      </w:r>
      <w:r w:rsidRPr="00E273FE">
        <w:rPr>
          <w:sz w:val="22"/>
          <w:szCs w:val="22"/>
          <w:lang w:val="fr-FR"/>
        </w:rPr>
        <w:t>-</w:t>
      </w:r>
      <w:r w:rsidR="00723BA4">
        <w:rPr>
          <w:sz w:val="22"/>
          <w:szCs w:val="22"/>
          <w:lang w:val="fr-FR"/>
        </w:rPr>
        <w:t>ESU</w:t>
      </w:r>
    </w:p>
    <w:p w14:paraId="68E24029" w14:textId="60AE630A" w:rsidR="00E273FE" w:rsidRPr="00E273FE" w:rsidRDefault="00E273FE" w:rsidP="00E273FE">
      <w:pPr>
        <w:pStyle w:val="CommentText"/>
        <w:rPr>
          <w:sz w:val="22"/>
          <w:szCs w:val="22"/>
          <w:lang w:val="fr-FR"/>
        </w:rPr>
      </w:pPr>
      <w:r w:rsidRPr="00E273FE">
        <w:rPr>
          <w:sz w:val="22"/>
          <w:szCs w:val="22"/>
          <w:lang w:val="fr-FR"/>
        </w:rPr>
        <w:t xml:space="preserve">• Envisager de vérifier les critères qui facilitent ou exigent une plus grande intégration du </w:t>
      </w:r>
      <w:r w:rsidR="00723BA4">
        <w:rPr>
          <w:sz w:val="22"/>
          <w:szCs w:val="22"/>
          <w:lang w:val="fr-FR"/>
        </w:rPr>
        <w:t>PE</w:t>
      </w:r>
      <w:r w:rsidRPr="00E273FE">
        <w:rPr>
          <w:sz w:val="22"/>
          <w:szCs w:val="22"/>
          <w:lang w:val="fr-FR"/>
        </w:rPr>
        <w:t>-</w:t>
      </w:r>
      <w:r w:rsidR="00723BA4">
        <w:rPr>
          <w:sz w:val="22"/>
          <w:szCs w:val="22"/>
          <w:lang w:val="fr-FR"/>
        </w:rPr>
        <w:t>ESU</w:t>
      </w:r>
      <w:r w:rsidRPr="00E273FE">
        <w:rPr>
          <w:sz w:val="22"/>
          <w:szCs w:val="22"/>
          <w:lang w:val="fr-FR"/>
        </w:rPr>
        <w:t>, exemples ci-dessous</w:t>
      </w:r>
    </w:p>
    <w:p w14:paraId="2BA55115" w14:textId="77777777" w:rsidR="00CF60E6" w:rsidRPr="00A8679F" w:rsidRDefault="00CF60E6" w:rsidP="00CF60E6">
      <w:pPr>
        <w:pStyle w:val="CommentText"/>
        <w:spacing w:after="0"/>
        <w:ind w:left="567"/>
        <w:rPr>
          <w:bCs/>
          <w:sz w:val="22"/>
          <w:szCs w:val="22"/>
          <w:lang w:val="fr-FR"/>
        </w:rPr>
      </w:pPr>
    </w:p>
    <w:tbl>
      <w:tblPr>
        <w:tblStyle w:val="TableGrid"/>
        <w:tblW w:w="0" w:type="auto"/>
        <w:tblBorders>
          <w:top w:val="single" w:sz="12" w:space="0" w:color="87BE28"/>
          <w:left w:val="single" w:sz="12" w:space="0" w:color="87BE28"/>
          <w:bottom w:val="single" w:sz="12" w:space="0" w:color="87BE28"/>
          <w:right w:val="single" w:sz="12" w:space="0" w:color="87BE28"/>
          <w:insideH w:val="single" w:sz="12" w:space="0" w:color="87BE28"/>
          <w:insideV w:val="single" w:sz="12" w:space="0" w:color="87BE28"/>
        </w:tblBorders>
        <w:tblLook w:val="04A0" w:firstRow="1" w:lastRow="0" w:firstColumn="1" w:lastColumn="0" w:noHBand="0" w:noVBand="1"/>
      </w:tblPr>
      <w:tblGrid>
        <w:gridCol w:w="704"/>
        <w:gridCol w:w="9913"/>
      </w:tblGrid>
      <w:tr w:rsidR="00CF60E6" w:rsidRPr="00C12BE7" w14:paraId="5C5901D5" w14:textId="77777777" w:rsidTr="00723BA4">
        <w:trPr>
          <w:cantSplit/>
          <w:trHeight w:val="2243"/>
        </w:trPr>
        <w:tc>
          <w:tcPr>
            <w:tcW w:w="704" w:type="dxa"/>
            <w:shd w:val="clear" w:color="auto" w:fill="87BE28"/>
            <w:textDirection w:val="btLr"/>
          </w:tcPr>
          <w:p w14:paraId="00246B80" w14:textId="12DF8039" w:rsidR="00CF60E6" w:rsidRPr="000F5075" w:rsidRDefault="00A8679F" w:rsidP="00EE1807">
            <w:pPr>
              <w:pStyle w:val="Default"/>
              <w:ind w:left="113" w:right="113"/>
              <w:jc w:val="center"/>
              <w:rPr>
                <w:b/>
                <w:bCs/>
                <w:color w:val="FFFFFF" w:themeColor="background1"/>
                <w:lang w:val="en-GB"/>
              </w:rPr>
            </w:pPr>
            <w:r>
              <w:rPr>
                <w:b/>
                <w:bCs/>
                <w:color w:val="FFFFFF" w:themeColor="background1"/>
                <w:lang w:val="en-GB"/>
              </w:rPr>
              <w:t>L’</w:t>
            </w:r>
            <w:r w:rsidR="00CF60E6" w:rsidRPr="000F5075">
              <w:rPr>
                <w:b/>
                <w:bCs/>
                <w:color w:val="FFFFFF" w:themeColor="background1"/>
                <w:lang w:val="en-GB"/>
              </w:rPr>
              <w:t>Organi</w:t>
            </w:r>
            <w:r w:rsidR="005B3F4C">
              <w:rPr>
                <w:b/>
                <w:bCs/>
                <w:color w:val="FFFFFF" w:themeColor="background1"/>
                <w:lang w:val="en-GB"/>
              </w:rPr>
              <w:t>s</w:t>
            </w:r>
            <w:r w:rsidR="00CF60E6" w:rsidRPr="000F5075">
              <w:rPr>
                <w:b/>
                <w:bCs/>
                <w:color w:val="FFFFFF" w:themeColor="background1"/>
                <w:lang w:val="en-GB"/>
              </w:rPr>
              <w:t>ation</w:t>
            </w:r>
            <w:r w:rsidR="00B64AC0">
              <w:rPr>
                <w:b/>
                <w:bCs/>
                <w:color w:val="FFFFFF" w:themeColor="background1"/>
                <w:lang w:val="en-GB"/>
              </w:rPr>
              <w:t xml:space="preserve"> </w:t>
            </w:r>
          </w:p>
        </w:tc>
        <w:tc>
          <w:tcPr>
            <w:tcW w:w="9913" w:type="dxa"/>
          </w:tcPr>
          <w:p w14:paraId="5835D6FB" w14:textId="169677BC" w:rsidR="001E5C6B" w:rsidRPr="00723BA4" w:rsidRDefault="001E5C6B" w:rsidP="00723BA4">
            <w:pPr>
              <w:pStyle w:val="Default"/>
              <w:numPr>
                <w:ilvl w:val="0"/>
                <w:numId w:val="17"/>
              </w:numPr>
              <w:ind w:left="454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>
              <w:rPr>
                <w:rFonts w:cstheme="minorHAnsi"/>
                <w:sz w:val="22"/>
                <w:szCs w:val="22"/>
                <w:lang w:val="fr-FR"/>
              </w:rPr>
              <w:t xml:space="preserve"> </w:t>
            </w:r>
            <w:r w:rsidRPr="00723BA4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L’organisation soumissionnaire a la capacité technique et opérationnelle de mettre en place un projet conjoint </w:t>
            </w:r>
            <w:r w:rsidR="00723BA4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ESU</w:t>
            </w:r>
            <w:r w:rsidRPr="00723BA4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/</w:t>
            </w:r>
            <w:r w:rsidR="00723BA4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PE</w:t>
            </w:r>
            <w:r w:rsidRPr="00723BA4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</w:p>
          <w:p w14:paraId="24854030" w14:textId="2D0B3CDF" w:rsidR="001E5C6B" w:rsidRPr="00723BA4" w:rsidRDefault="001E5C6B" w:rsidP="00723BA4">
            <w:pPr>
              <w:pStyle w:val="Default"/>
              <w:numPr>
                <w:ilvl w:val="0"/>
                <w:numId w:val="17"/>
              </w:numPr>
              <w:ind w:left="454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723BA4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L’Organisation a en place une politique de sauvegarde et un code de conduite  </w:t>
            </w:r>
          </w:p>
          <w:p w14:paraId="26FC4595" w14:textId="039DDEE2" w:rsidR="001E5C6B" w:rsidRPr="00723BA4" w:rsidRDefault="001E5C6B" w:rsidP="00723BA4">
            <w:pPr>
              <w:pStyle w:val="Default"/>
              <w:numPr>
                <w:ilvl w:val="0"/>
                <w:numId w:val="17"/>
              </w:numPr>
              <w:ind w:left="454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723BA4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L’Organisation a mise en œuvre des programmes connexes de protection et d’éducation et fait rapport au Cluster par l’entremise des 4W pendant au moins les trois derniers mois et a démontrée l’expérience acquise dans la mise en œuvre d’activités semblables</w:t>
            </w:r>
          </w:p>
          <w:p w14:paraId="1CB16414" w14:textId="2BE2DE44" w:rsidR="00CF60E6" w:rsidRPr="00D80F5B" w:rsidRDefault="001E5C6B" w:rsidP="00723BA4">
            <w:pPr>
              <w:pStyle w:val="Default"/>
              <w:numPr>
                <w:ilvl w:val="0"/>
                <w:numId w:val="17"/>
              </w:numPr>
              <w:ind w:left="454"/>
              <w:rPr>
                <w:rFonts w:cstheme="minorHAnsi"/>
                <w:sz w:val="20"/>
                <w:szCs w:val="20"/>
                <w:lang w:val="fr-FR"/>
              </w:rPr>
            </w:pPr>
            <w:r w:rsidRPr="00723BA4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Conformément aux engagements de Grand Bargain, donner la priorité à l’examen des ONG locales/</w:t>
            </w:r>
            <w:r w:rsidR="00E2716B" w:rsidRPr="00723BA4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nationale</w:t>
            </w:r>
          </w:p>
        </w:tc>
      </w:tr>
      <w:tr w:rsidR="00CF60E6" w:rsidRPr="00C12BE7" w14:paraId="1020B1A0" w14:textId="77777777" w:rsidTr="005B3F4C">
        <w:trPr>
          <w:cantSplit/>
          <w:trHeight w:val="1134"/>
        </w:trPr>
        <w:tc>
          <w:tcPr>
            <w:tcW w:w="704" w:type="dxa"/>
            <w:shd w:val="clear" w:color="auto" w:fill="87BE28"/>
            <w:textDirection w:val="btLr"/>
          </w:tcPr>
          <w:p w14:paraId="5DA8312A" w14:textId="58B1387B" w:rsidR="00CF60E6" w:rsidRPr="000F5075" w:rsidRDefault="00957B8A" w:rsidP="00EE1807">
            <w:pPr>
              <w:pStyle w:val="Default"/>
              <w:ind w:left="113" w:right="113"/>
              <w:jc w:val="center"/>
              <w:rPr>
                <w:b/>
                <w:bCs/>
                <w:color w:val="FFFFFF" w:themeColor="background1"/>
                <w:lang w:val="en-GB"/>
              </w:rPr>
            </w:pPr>
            <w:r>
              <w:rPr>
                <w:b/>
                <w:bCs/>
                <w:color w:val="FFFFFF" w:themeColor="background1"/>
                <w:lang w:val="en-GB"/>
              </w:rPr>
              <w:t>Proje</w:t>
            </w:r>
            <w:r w:rsidR="00CF60E6" w:rsidRPr="000F5075">
              <w:rPr>
                <w:b/>
                <w:bCs/>
                <w:color w:val="FFFFFF" w:themeColor="background1"/>
                <w:lang w:val="en-GB"/>
              </w:rPr>
              <w:t>t</w:t>
            </w:r>
            <w:r>
              <w:rPr>
                <w:b/>
                <w:bCs/>
                <w:color w:val="FFFFFF" w:themeColor="background1"/>
                <w:lang w:val="en-GB"/>
              </w:rPr>
              <w:t xml:space="preserve"> - Technique</w:t>
            </w:r>
          </w:p>
        </w:tc>
        <w:tc>
          <w:tcPr>
            <w:tcW w:w="9913" w:type="dxa"/>
          </w:tcPr>
          <w:p w14:paraId="79F2CAFE" w14:textId="141965D8" w:rsidR="00B64AC0" w:rsidRPr="00B64AC0" w:rsidRDefault="00B64AC0" w:rsidP="00723BA4">
            <w:pPr>
              <w:pStyle w:val="Default"/>
              <w:numPr>
                <w:ilvl w:val="0"/>
                <w:numId w:val="17"/>
              </w:numPr>
              <w:ind w:left="454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B64AC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Pour les projets sectoriels uniques, convenir d’activités intersectorielles minimales à utiliser comme critères de contrôle </w:t>
            </w:r>
            <w:r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(p. ex. Le</w:t>
            </w:r>
            <w:r w:rsidRPr="00723BA4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MHPSS</w:t>
            </w:r>
            <w:r w:rsidRPr="00B64AC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doit être intégré, discuté et convenu avec le sous-groupe de protection de l’enfance et le groupe de coordination du</w:t>
            </w:r>
            <w:r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r w:rsidRPr="00723BA4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MHPSS</w:t>
            </w:r>
            <w:r w:rsidRPr="00B64AC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si présent, avant la présentation du projet.)</w:t>
            </w:r>
          </w:p>
          <w:p w14:paraId="726274DF" w14:textId="25B7289F" w:rsidR="00B64AC0" w:rsidRPr="00B64AC0" w:rsidRDefault="00B64AC0" w:rsidP="00723BA4">
            <w:pPr>
              <w:pStyle w:val="Default"/>
              <w:numPr>
                <w:ilvl w:val="0"/>
                <w:numId w:val="17"/>
              </w:numPr>
              <w:ind w:left="454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B64AC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La proposition identifie clairement les besoins des filles et des garçons en matière d’</w:t>
            </w:r>
            <w:r w:rsidR="00723BA4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ESU</w:t>
            </w:r>
            <w:r w:rsidRPr="00B64AC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et de </w:t>
            </w:r>
            <w:r w:rsidR="00723BA4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PE</w:t>
            </w:r>
            <w:r w:rsidRPr="00B64AC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et la façon de l</w:t>
            </w:r>
            <w:r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es traiter de façon intersectoriel</w:t>
            </w:r>
            <w:r w:rsidRPr="00B64AC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le</w:t>
            </w:r>
          </w:p>
          <w:p w14:paraId="462A7FEE" w14:textId="02BFD99A" w:rsidR="00B64AC0" w:rsidRPr="00B64AC0" w:rsidRDefault="00B64AC0" w:rsidP="00723BA4">
            <w:pPr>
              <w:pStyle w:val="Default"/>
              <w:numPr>
                <w:ilvl w:val="0"/>
                <w:numId w:val="17"/>
              </w:numPr>
              <w:ind w:left="454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B64AC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La proposition est conforme aux normes minimales de protection de </w:t>
            </w:r>
            <w:r w:rsidR="00537E2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l’enfance et aux normes de l’INE</w:t>
            </w:r>
            <w:r w:rsidRPr="00B64AC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E. L’Organisation doit également faire référence et démontrer qu’elle comprend les lignes directrices globales et contextualisées pertinentes pour chaque activité qu’elle va mettre en œuvre.</w:t>
            </w:r>
          </w:p>
          <w:p w14:paraId="677A9D1C" w14:textId="511CE758" w:rsidR="00B64AC0" w:rsidRPr="00B64AC0" w:rsidRDefault="00B64AC0" w:rsidP="00723BA4">
            <w:pPr>
              <w:pStyle w:val="Default"/>
              <w:numPr>
                <w:ilvl w:val="0"/>
                <w:numId w:val="17"/>
              </w:numPr>
              <w:ind w:left="454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B64AC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La proposition décrit clairement la complémentarité </w:t>
            </w:r>
            <w:r w:rsidR="00723BA4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PE</w:t>
            </w:r>
            <w:r w:rsidRPr="00B64AC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/</w:t>
            </w:r>
            <w:r w:rsidR="00723BA4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ESU</w:t>
            </w:r>
            <w:r w:rsidRPr="00B64AC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dans les activités proposées (peut tenir compte des complémentarités techniques et opérationnelles)</w:t>
            </w:r>
          </w:p>
          <w:p w14:paraId="65EA183B" w14:textId="241BBD0C" w:rsidR="00B64AC0" w:rsidRPr="00B64AC0" w:rsidRDefault="00B64AC0" w:rsidP="00723BA4">
            <w:pPr>
              <w:pStyle w:val="Default"/>
              <w:numPr>
                <w:ilvl w:val="0"/>
                <w:numId w:val="17"/>
              </w:numPr>
              <w:ind w:left="454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B64AC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La proposition définit clairement les bénéficiaires cibles, y compris l’âge, les vulnérabilités spécifiques et la désagrégation du genre, compte tenu des activités ciblées et coordonnées par quel secteur</w:t>
            </w:r>
          </w:p>
          <w:p w14:paraId="60B08033" w14:textId="0311C1EC" w:rsidR="00B64AC0" w:rsidRPr="00B64AC0" w:rsidRDefault="00B64AC0" w:rsidP="00723BA4">
            <w:pPr>
              <w:pStyle w:val="Default"/>
              <w:numPr>
                <w:ilvl w:val="0"/>
                <w:numId w:val="17"/>
              </w:numPr>
              <w:ind w:left="454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B64AC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La proposition décrit clairement comment le projet favorisera l’orientation des enfants</w:t>
            </w:r>
            <w:r w:rsidR="005D382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vulnérables et de leurs soignants</w:t>
            </w:r>
            <w:r w:rsidRPr="00B64AC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. La proposition explique clairement comment le projet permettra aux garçons, aux filles et à leurs aidants vulnérables d’avoir acc</w:t>
            </w:r>
            <w:r w:rsidR="005D382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ès à des services multisectoriels</w:t>
            </w:r>
            <w:r w:rsidRPr="00B64AC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par le biais de références internes et externes.</w:t>
            </w:r>
          </w:p>
          <w:p w14:paraId="6E330C86" w14:textId="35A8E1A6" w:rsidR="00B64AC0" w:rsidRPr="00B64AC0" w:rsidRDefault="00B64AC0" w:rsidP="00723BA4">
            <w:pPr>
              <w:pStyle w:val="Default"/>
              <w:numPr>
                <w:ilvl w:val="0"/>
                <w:numId w:val="17"/>
              </w:numPr>
              <w:ind w:left="454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B64AC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La proposition décrit clairement comment le projet identifiera et atteindra les enfants les plus vulnérables dans l’emplacement cible et décrira les défis potentiels et les mesures d’atténuation liées à l’atteinte des plus vulnérables.</w:t>
            </w:r>
          </w:p>
          <w:p w14:paraId="37747561" w14:textId="3DE25197" w:rsidR="00B64AC0" w:rsidRPr="00B64AC0" w:rsidRDefault="00B64AC0" w:rsidP="00723BA4">
            <w:pPr>
              <w:pStyle w:val="Default"/>
              <w:numPr>
                <w:ilvl w:val="0"/>
                <w:numId w:val="17"/>
              </w:numPr>
              <w:ind w:left="454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B64AC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La proposition décrit clairement les services spécifiques fournis pour chaque type de vulnérabilité des enfants offerts par le projet</w:t>
            </w:r>
          </w:p>
          <w:p w14:paraId="09C7D818" w14:textId="4B57A8CE" w:rsidR="00B64AC0" w:rsidRPr="00B64AC0" w:rsidRDefault="00B64AC0" w:rsidP="00723BA4">
            <w:pPr>
              <w:pStyle w:val="Default"/>
              <w:numPr>
                <w:ilvl w:val="0"/>
                <w:numId w:val="17"/>
              </w:numPr>
              <w:ind w:left="454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B64AC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La proposition décrit clairement</w:t>
            </w:r>
            <w:r w:rsidR="005D382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que le personnel est</w:t>
            </w:r>
            <w:r w:rsidRPr="00B64AC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facilement disponible pour fournir les services, le personnel qu’ils formeront et le personnel qu’ils </w:t>
            </w:r>
            <w:r w:rsidR="00A8679F" w:rsidRPr="00B64AC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embaucheront ;</w:t>
            </w:r>
            <w:r w:rsidRPr="00B64AC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tout en assurant des ponts entre l’éducation et la protection de l’enfance, elle veille à ce que le personnel spécialisé reste en charge des services spécialisés</w:t>
            </w:r>
          </w:p>
          <w:p w14:paraId="319083E5" w14:textId="2FA98114" w:rsidR="00CF60E6" w:rsidRPr="00723BA4" w:rsidRDefault="00B64AC0" w:rsidP="00723BA4">
            <w:pPr>
              <w:pStyle w:val="Default"/>
              <w:numPr>
                <w:ilvl w:val="0"/>
                <w:numId w:val="17"/>
              </w:numPr>
              <w:ind w:left="454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B64AC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La stratégie de sortie est en place, envisageant de déplacer certaines activités du </w:t>
            </w:r>
            <w:r w:rsidR="00723BA4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PE</w:t>
            </w:r>
            <w:r w:rsidRPr="00B64AC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à l’</w:t>
            </w:r>
            <w:r w:rsidR="00723BA4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ESU</w:t>
            </w:r>
            <w:r w:rsidRPr="00B64AC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au besoin        </w:t>
            </w:r>
            <w:r w:rsidR="00CF60E6" w:rsidRPr="00723BA4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</w:p>
        </w:tc>
      </w:tr>
    </w:tbl>
    <w:p w14:paraId="7A52E60B" w14:textId="7262D78E" w:rsidR="005B3F4C" w:rsidRPr="005D3820" w:rsidRDefault="005B3F4C" w:rsidP="005B3F4C">
      <w:pPr>
        <w:tabs>
          <w:tab w:val="left" w:pos="4116"/>
        </w:tabs>
        <w:rPr>
          <w:lang w:val="fr-FR"/>
        </w:rPr>
      </w:pPr>
    </w:p>
    <w:sectPr w:rsidR="005B3F4C" w:rsidRPr="005D3820" w:rsidSect="005B3F4C">
      <w:headerReference w:type="default" r:id="rId14"/>
      <w:pgSz w:w="12240" w:h="15840"/>
      <w:pgMar w:top="454" w:right="720" w:bottom="426" w:left="720" w:header="28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5A4858" w14:textId="77777777" w:rsidR="00D40600" w:rsidRDefault="00D40600" w:rsidP="004D291C">
      <w:pPr>
        <w:spacing w:after="0" w:line="240" w:lineRule="auto"/>
      </w:pPr>
      <w:r>
        <w:separator/>
      </w:r>
    </w:p>
  </w:endnote>
  <w:endnote w:type="continuationSeparator" w:id="0">
    <w:p w14:paraId="004417EC" w14:textId="77777777" w:rsidR="00D40600" w:rsidRDefault="00D40600" w:rsidP="004D29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202F56" w14:textId="77777777" w:rsidR="00D40600" w:rsidRDefault="00D40600" w:rsidP="004D291C">
      <w:pPr>
        <w:spacing w:after="0" w:line="240" w:lineRule="auto"/>
      </w:pPr>
      <w:r>
        <w:separator/>
      </w:r>
    </w:p>
  </w:footnote>
  <w:footnote w:type="continuationSeparator" w:id="0">
    <w:p w14:paraId="4F383BB8" w14:textId="77777777" w:rsidR="00D40600" w:rsidRDefault="00D40600" w:rsidP="004D29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CC6249" w14:textId="6D9DCE28" w:rsidR="00F70C5A" w:rsidRPr="00BD02C0" w:rsidRDefault="00723BA4" w:rsidP="00723BA4">
    <w:pPr>
      <w:rPr>
        <w:sz w:val="28"/>
        <w:szCs w:val="28"/>
        <w:u w:val="single"/>
        <w:lang w:val="fr-FR"/>
      </w:rPr>
    </w:pPr>
    <w:r w:rsidRPr="00BB34F7">
      <w:rPr>
        <w:noProof/>
        <w:sz w:val="28"/>
        <w:szCs w:val="28"/>
        <w:u w:val="single"/>
        <w:lang w:val="fr-FR" w:eastAsia="fr-FR"/>
      </w:rPr>
      <w:drawing>
        <wp:anchor distT="0" distB="0" distL="114300" distR="114300" simplePos="0" relativeHeight="251660288" behindDoc="0" locked="0" layoutInCell="1" allowOverlap="1" wp14:anchorId="7E89BBAD" wp14:editId="696D1B99">
          <wp:simplePos x="0" y="0"/>
          <wp:positionH relativeFrom="column">
            <wp:posOffset>5672667</wp:posOffset>
          </wp:positionH>
          <wp:positionV relativeFrom="paragraph">
            <wp:posOffset>-121074</wp:posOffset>
          </wp:positionV>
          <wp:extent cx="598381" cy="610693"/>
          <wp:effectExtent l="0" t="0" r="0" b="0"/>
          <wp:wrapNone/>
          <wp:docPr id="2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Picture 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3970" cy="6163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70C5A" w:rsidRPr="00BB34F7">
      <w:rPr>
        <w:noProof/>
        <w:sz w:val="28"/>
        <w:szCs w:val="28"/>
        <w:u w:val="single"/>
        <w:lang w:val="fr-FR" w:eastAsia="fr-FR"/>
      </w:rPr>
      <w:drawing>
        <wp:anchor distT="0" distB="0" distL="114300" distR="114300" simplePos="0" relativeHeight="251659264" behindDoc="0" locked="0" layoutInCell="1" allowOverlap="1" wp14:anchorId="6CD33415" wp14:editId="4E255B0F">
          <wp:simplePos x="0" y="0"/>
          <wp:positionH relativeFrom="column">
            <wp:posOffset>6502472</wp:posOffset>
          </wp:positionH>
          <wp:positionV relativeFrom="paragraph">
            <wp:posOffset>-19473</wp:posOffset>
          </wp:positionV>
          <wp:extent cx="667451" cy="266065"/>
          <wp:effectExtent l="0" t="0" r="0" b="635"/>
          <wp:wrapNone/>
          <wp:docPr id="19" name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Picture 4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67451" cy="266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23BA4">
      <w:rPr>
        <w:sz w:val="28"/>
        <w:szCs w:val="28"/>
        <w:u w:val="single"/>
        <w:lang w:val="fr-FR"/>
      </w:rPr>
      <w:t xml:space="preserve"> </w:t>
    </w:r>
    <w:r w:rsidRPr="00CF43DC">
      <w:rPr>
        <w:sz w:val="28"/>
        <w:szCs w:val="28"/>
        <w:u w:val="single"/>
        <w:lang w:val="fr-FR"/>
      </w:rPr>
      <w:t>Cadre pour la Collaboration dans la Coordination PE-ESU</w:t>
    </w:r>
    <w:r>
      <w:rPr>
        <w:sz w:val="28"/>
        <w:szCs w:val="28"/>
        <w:u w:val="single"/>
        <w:lang w:val="fr-FR"/>
      </w:rPr>
      <w:t xml:space="preserve"> - </w:t>
    </w:r>
    <w:hyperlink r:id="rId3" w:history="1">
      <w:r>
        <w:rPr>
          <w:rStyle w:val="Hyperlink"/>
          <w:sz w:val="28"/>
          <w:szCs w:val="28"/>
          <w:lang w:val="fr-FR"/>
        </w:rPr>
        <w:t>paquet de soutien</w:t>
      </w:r>
    </w:hyperlink>
    <w:r w:rsidRPr="00BD02C0">
      <w:rPr>
        <w:sz w:val="28"/>
        <w:szCs w:val="28"/>
        <w:u w:val="single"/>
        <w:lang w:val="fr-FR"/>
      </w:rPr>
      <w:t xml:space="preserve"> </w:t>
    </w:r>
  </w:p>
  <w:p w14:paraId="378C72A7" w14:textId="77777777" w:rsidR="00F70C5A" w:rsidRPr="00BD02C0" w:rsidRDefault="00F70C5A">
    <w:pPr>
      <w:pStyle w:val="Header"/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B86CA9"/>
    <w:multiLevelType w:val="hybridMultilevel"/>
    <w:tmpl w:val="8B4C65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1293E"/>
    <w:multiLevelType w:val="hybridMultilevel"/>
    <w:tmpl w:val="F3EE7146"/>
    <w:lvl w:ilvl="0" w:tplc="FE583440">
      <w:start w:val="5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4357D"/>
    <w:multiLevelType w:val="hybridMultilevel"/>
    <w:tmpl w:val="8F9E233C"/>
    <w:lvl w:ilvl="0" w:tplc="040C0003">
      <w:start w:val="1"/>
      <w:numFmt w:val="bullet"/>
      <w:lvlText w:val="o"/>
      <w:lvlJc w:val="left"/>
      <w:pPr>
        <w:ind w:left="180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5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8" w:hanging="360"/>
      </w:pPr>
      <w:rPr>
        <w:rFonts w:ascii="Wingdings" w:hAnsi="Wingdings" w:hint="default"/>
      </w:rPr>
    </w:lvl>
  </w:abstractNum>
  <w:abstractNum w:abstractNumId="3" w15:restartNumberingAfterBreak="0">
    <w:nsid w:val="11BD353B"/>
    <w:multiLevelType w:val="hybridMultilevel"/>
    <w:tmpl w:val="CBA86A4A"/>
    <w:lvl w:ilvl="0" w:tplc="040C0003">
      <w:start w:val="1"/>
      <w:numFmt w:val="bullet"/>
      <w:lvlText w:val="o"/>
      <w:lvlJc w:val="left"/>
      <w:pPr>
        <w:ind w:left="180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5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8" w:hanging="360"/>
      </w:pPr>
      <w:rPr>
        <w:rFonts w:ascii="Wingdings" w:hAnsi="Wingdings" w:hint="default"/>
      </w:rPr>
    </w:lvl>
  </w:abstractNum>
  <w:abstractNum w:abstractNumId="4" w15:restartNumberingAfterBreak="0">
    <w:nsid w:val="11F50EA5"/>
    <w:multiLevelType w:val="hybridMultilevel"/>
    <w:tmpl w:val="EDE8A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644C4B"/>
    <w:multiLevelType w:val="hybridMultilevel"/>
    <w:tmpl w:val="1F08D0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013374"/>
    <w:multiLevelType w:val="hybridMultilevel"/>
    <w:tmpl w:val="015A519A"/>
    <w:lvl w:ilvl="0" w:tplc="F1644726">
      <w:numFmt w:val="bullet"/>
      <w:lvlText w:val=""/>
      <w:lvlJc w:val="left"/>
      <w:pPr>
        <w:ind w:left="1455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7" w15:restartNumberingAfterBreak="0">
    <w:nsid w:val="1ADF1A8C"/>
    <w:multiLevelType w:val="hybridMultilevel"/>
    <w:tmpl w:val="C75EF362"/>
    <w:lvl w:ilvl="0" w:tplc="3A2AB23A">
      <w:numFmt w:val="bullet"/>
      <w:lvlText w:val=""/>
      <w:lvlJc w:val="left"/>
      <w:pPr>
        <w:ind w:left="1455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8" w15:restartNumberingAfterBreak="0">
    <w:nsid w:val="1BF533BD"/>
    <w:multiLevelType w:val="hybridMultilevel"/>
    <w:tmpl w:val="FFF2902A"/>
    <w:lvl w:ilvl="0" w:tplc="B63E192C">
      <w:numFmt w:val="bullet"/>
      <w:lvlText w:val=""/>
      <w:lvlJc w:val="left"/>
      <w:pPr>
        <w:ind w:left="1455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9" w15:restartNumberingAfterBreak="0">
    <w:nsid w:val="1D236E5E"/>
    <w:multiLevelType w:val="hybridMultilevel"/>
    <w:tmpl w:val="CD700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A71096"/>
    <w:multiLevelType w:val="hybridMultilevel"/>
    <w:tmpl w:val="17127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277BA5"/>
    <w:multiLevelType w:val="hybridMultilevel"/>
    <w:tmpl w:val="7EFC314E"/>
    <w:lvl w:ilvl="0" w:tplc="040C0003">
      <w:start w:val="1"/>
      <w:numFmt w:val="bullet"/>
      <w:lvlText w:val="o"/>
      <w:lvlJc w:val="left"/>
      <w:pPr>
        <w:ind w:left="180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5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8" w:hanging="360"/>
      </w:pPr>
      <w:rPr>
        <w:rFonts w:ascii="Wingdings" w:hAnsi="Wingdings" w:hint="default"/>
      </w:rPr>
    </w:lvl>
  </w:abstractNum>
  <w:abstractNum w:abstractNumId="12" w15:restartNumberingAfterBreak="0">
    <w:nsid w:val="24980FEF"/>
    <w:multiLevelType w:val="multilevel"/>
    <w:tmpl w:val="C42C702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524361"/>
    <w:multiLevelType w:val="hybridMultilevel"/>
    <w:tmpl w:val="99A26C92"/>
    <w:lvl w:ilvl="0" w:tplc="847044CA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8370448"/>
    <w:multiLevelType w:val="hybridMultilevel"/>
    <w:tmpl w:val="C4D25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D20D73"/>
    <w:multiLevelType w:val="hybridMultilevel"/>
    <w:tmpl w:val="A9CEF27C"/>
    <w:lvl w:ilvl="0" w:tplc="8B943D2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000000"/>
        <w:sz w:val="27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F36F16"/>
    <w:multiLevelType w:val="hybridMultilevel"/>
    <w:tmpl w:val="D1006AE0"/>
    <w:lvl w:ilvl="0" w:tplc="2E9A5A9E">
      <w:numFmt w:val="bullet"/>
      <w:lvlText w:val=""/>
      <w:lvlJc w:val="left"/>
      <w:pPr>
        <w:ind w:left="1560" w:hanging="42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7" w15:restartNumberingAfterBreak="0">
    <w:nsid w:val="361A3106"/>
    <w:multiLevelType w:val="hybridMultilevel"/>
    <w:tmpl w:val="BF92EB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4431E9"/>
    <w:multiLevelType w:val="hybridMultilevel"/>
    <w:tmpl w:val="E77E5EFE"/>
    <w:lvl w:ilvl="0" w:tplc="040C0003">
      <w:start w:val="1"/>
      <w:numFmt w:val="bullet"/>
      <w:lvlText w:val="o"/>
      <w:lvlJc w:val="left"/>
      <w:pPr>
        <w:ind w:left="180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5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8" w:hanging="360"/>
      </w:pPr>
      <w:rPr>
        <w:rFonts w:ascii="Wingdings" w:hAnsi="Wingdings" w:hint="default"/>
      </w:rPr>
    </w:lvl>
  </w:abstractNum>
  <w:abstractNum w:abstractNumId="19" w15:restartNumberingAfterBreak="0">
    <w:nsid w:val="3A9F2A87"/>
    <w:multiLevelType w:val="hybridMultilevel"/>
    <w:tmpl w:val="4CD4C682"/>
    <w:lvl w:ilvl="0" w:tplc="040C0003">
      <w:start w:val="1"/>
      <w:numFmt w:val="bullet"/>
      <w:lvlText w:val="o"/>
      <w:lvlJc w:val="left"/>
      <w:pPr>
        <w:ind w:left="180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5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8" w:hanging="360"/>
      </w:pPr>
      <w:rPr>
        <w:rFonts w:ascii="Wingdings" w:hAnsi="Wingdings" w:hint="default"/>
      </w:rPr>
    </w:lvl>
  </w:abstractNum>
  <w:abstractNum w:abstractNumId="20" w15:restartNumberingAfterBreak="0">
    <w:nsid w:val="3AF16628"/>
    <w:multiLevelType w:val="hybridMultilevel"/>
    <w:tmpl w:val="EBA6EBA0"/>
    <w:lvl w:ilvl="0" w:tplc="9E0833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776FE5"/>
    <w:multiLevelType w:val="hybridMultilevel"/>
    <w:tmpl w:val="F27E6F5A"/>
    <w:lvl w:ilvl="0" w:tplc="040C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57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9" w:hanging="360"/>
      </w:pPr>
      <w:rPr>
        <w:rFonts w:ascii="Wingdings" w:hAnsi="Wingdings" w:hint="default"/>
      </w:rPr>
    </w:lvl>
  </w:abstractNum>
  <w:abstractNum w:abstractNumId="22" w15:restartNumberingAfterBreak="0">
    <w:nsid w:val="3FDE749C"/>
    <w:multiLevelType w:val="hybridMultilevel"/>
    <w:tmpl w:val="CFF8F86A"/>
    <w:lvl w:ilvl="0" w:tplc="08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23" w15:restartNumberingAfterBreak="0">
    <w:nsid w:val="45EE0C64"/>
    <w:multiLevelType w:val="hybridMultilevel"/>
    <w:tmpl w:val="7D1C3EEE"/>
    <w:lvl w:ilvl="0" w:tplc="8F2E5AE6">
      <w:numFmt w:val="bullet"/>
      <w:lvlText w:val=""/>
      <w:lvlJc w:val="left"/>
      <w:pPr>
        <w:ind w:left="1455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24" w15:restartNumberingAfterBreak="0">
    <w:nsid w:val="49C015C6"/>
    <w:multiLevelType w:val="hybridMultilevel"/>
    <w:tmpl w:val="F9945D70"/>
    <w:lvl w:ilvl="0" w:tplc="040C0003">
      <w:start w:val="1"/>
      <w:numFmt w:val="bullet"/>
      <w:lvlText w:val="o"/>
      <w:lvlJc w:val="left"/>
      <w:pPr>
        <w:ind w:left="180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5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8" w:hanging="360"/>
      </w:pPr>
      <w:rPr>
        <w:rFonts w:ascii="Wingdings" w:hAnsi="Wingdings" w:hint="default"/>
      </w:rPr>
    </w:lvl>
  </w:abstractNum>
  <w:abstractNum w:abstractNumId="25" w15:restartNumberingAfterBreak="0">
    <w:nsid w:val="4A4C1055"/>
    <w:multiLevelType w:val="hybridMultilevel"/>
    <w:tmpl w:val="94366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4F7656"/>
    <w:multiLevelType w:val="hybridMultilevel"/>
    <w:tmpl w:val="6F6E5AAA"/>
    <w:lvl w:ilvl="0" w:tplc="7FC42666">
      <w:numFmt w:val="bullet"/>
      <w:lvlText w:val=""/>
      <w:lvlJc w:val="left"/>
      <w:pPr>
        <w:ind w:left="1455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27" w15:restartNumberingAfterBreak="0">
    <w:nsid w:val="4DB31A77"/>
    <w:multiLevelType w:val="hybridMultilevel"/>
    <w:tmpl w:val="ACF60206"/>
    <w:lvl w:ilvl="0" w:tplc="5D6EBB0E">
      <w:start w:val="1"/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54C30BED"/>
    <w:multiLevelType w:val="hybridMultilevel"/>
    <w:tmpl w:val="8C169EEC"/>
    <w:lvl w:ilvl="0" w:tplc="2E64F7E4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000000"/>
        <w:sz w:val="27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043309"/>
    <w:multiLevelType w:val="hybridMultilevel"/>
    <w:tmpl w:val="AF7A7A98"/>
    <w:lvl w:ilvl="0" w:tplc="613CD938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6353A4"/>
    <w:multiLevelType w:val="hybridMultilevel"/>
    <w:tmpl w:val="07F6D4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450953"/>
    <w:multiLevelType w:val="hybridMultilevel"/>
    <w:tmpl w:val="6DC6AD22"/>
    <w:lvl w:ilvl="0" w:tplc="C8A2637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3D37AF"/>
    <w:multiLevelType w:val="hybridMultilevel"/>
    <w:tmpl w:val="F9C821E4"/>
    <w:lvl w:ilvl="0" w:tplc="0E66B26A">
      <w:numFmt w:val="bullet"/>
      <w:lvlText w:val=""/>
      <w:lvlJc w:val="left"/>
      <w:pPr>
        <w:ind w:left="1455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33" w15:restartNumberingAfterBreak="0">
    <w:nsid w:val="7B2A4514"/>
    <w:multiLevelType w:val="hybridMultilevel"/>
    <w:tmpl w:val="A642B4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080D65"/>
    <w:multiLevelType w:val="hybridMultilevel"/>
    <w:tmpl w:val="1D36E0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0"/>
  </w:num>
  <w:num w:numId="3">
    <w:abstractNumId w:val="5"/>
  </w:num>
  <w:num w:numId="4">
    <w:abstractNumId w:val="33"/>
  </w:num>
  <w:num w:numId="5">
    <w:abstractNumId w:val="12"/>
  </w:num>
  <w:num w:numId="6">
    <w:abstractNumId w:val="31"/>
  </w:num>
  <w:num w:numId="7">
    <w:abstractNumId w:val="29"/>
  </w:num>
  <w:num w:numId="8">
    <w:abstractNumId w:val="0"/>
  </w:num>
  <w:num w:numId="9">
    <w:abstractNumId w:val="30"/>
  </w:num>
  <w:num w:numId="10">
    <w:abstractNumId w:val="10"/>
  </w:num>
  <w:num w:numId="11">
    <w:abstractNumId w:val="25"/>
  </w:num>
  <w:num w:numId="12">
    <w:abstractNumId w:val="1"/>
  </w:num>
  <w:num w:numId="13">
    <w:abstractNumId w:val="14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28"/>
  </w:num>
  <w:num w:numId="17">
    <w:abstractNumId w:val="4"/>
  </w:num>
  <w:num w:numId="18">
    <w:abstractNumId w:val="22"/>
  </w:num>
  <w:num w:numId="19">
    <w:abstractNumId w:val="27"/>
  </w:num>
  <w:num w:numId="20">
    <w:abstractNumId w:val="13"/>
  </w:num>
  <w:num w:numId="21">
    <w:abstractNumId w:val="34"/>
  </w:num>
  <w:num w:numId="22">
    <w:abstractNumId w:val="24"/>
  </w:num>
  <w:num w:numId="23">
    <w:abstractNumId w:val="32"/>
  </w:num>
  <w:num w:numId="24">
    <w:abstractNumId w:val="19"/>
  </w:num>
  <w:num w:numId="25">
    <w:abstractNumId w:val="23"/>
  </w:num>
  <w:num w:numId="26">
    <w:abstractNumId w:val="2"/>
  </w:num>
  <w:num w:numId="27">
    <w:abstractNumId w:val="8"/>
  </w:num>
  <w:num w:numId="28">
    <w:abstractNumId w:val="11"/>
  </w:num>
  <w:num w:numId="29">
    <w:abstractNumId w:val="26"/>
  </w:num>
  <w:num w:numId="30">
    <w:abstractNumId w:val="18"/>
  </w:num>
  <w:num w:numId="31">
    <w:abstractNumId w:val="7"/>
  </w:num>
  <w:num w:numId="32">
    <w:abstractNumId w:val="3"/>
  </w:num>
  <w:num w:numId="33">
    <w:abstractNumId w:val="6"/>
  </w:num>
  <w:num w:numId="34">
    <w:abstractNumId w:val="21"/>
  </w:num>
  <w:num w:numId="35">
    <w:abstractNumId w:val="1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158"/>
    <w:rsid w:val="00001014"/>
    <w:rsid w:val="000034C1"/>
    <w:rsid w:val="00011D71"/>
    <w:rsid w:val="0001289B"/>
    <w:rsid w:val="00012BFE"/>
    <w:rsid w:val="0001519E"/>
    <w:rsid w:val="00022B17"/>
    <w:rsid w:val="00026F47"/>
    <w:rsid w:val="00033951"/>
    <w:rsid w:val="00036301"/>
    <w:rsid w:val="000418ED"/>
    <w:rsid w:val="00041A65"/>
    <w:rsid w:val="00050997"/>
    <w:rsid w:val="000551DE"/>
    <w:rsid w:val="00056FDA"/>
    <w:rsid w:val="00061E8A"/>
    <w:rsid w:val="00062C1C"/>
    <w:rsid w:val="0006684F"/>
    <w:rsid w:val="00067196"/>
    <w:rsid w:val="000673F8"/>
    <w:rsid w:val="00082011"/>
    <w:rsid w:val="00087B42"/>
    <w:rsid w:val="000975B7"/>
    <w:rsid w:val="000A13FB"/>
    <w:rsid w:val="000A1FD1"/>
    <w:rsid w:val="000A5B51"/>
    <w:rsid w:val="000A7EA9"/>
    <w:rsid w:val="000B161C"/>
    <w:rsid w:val="000B47A3"/>
    <w:rsid w:val="000B6DBE"/>
    <w:rsid w:val="000C681F"/>
    <w:rsid w:val="000C7076"/>
    <w:rsid w:val="000D18AF"/>
    <w:rsid w:val="000D3CB3"/>
    <w:rsid w:val="000D459D"/>
    <w:rsid w:val="000D677B"/>
    <w:rsid w:val="000D7537"/>
    <w:rsid w:val="000E2813"/>
    <w:rsid w:val="000E73B2"/>
    <w:rsid w:val="000F0513"/>
    <w:rsid w:val="000F1BD0"/>
    <w:rsid w:val="000F7693"/>
    <w:rsid w:val="00102093"/>
    <w:rsid w:val="00106158"/>
    <w:rsid w:val="001116BE"/>
    <w:rsid w:val="00113195"/>
    <w:rsid w:val="00114737"/>
    <w:rsid w:val="00122534"/>
    <w:rsid w:val="00122DF5"/>
    <w:rsid w:val="001304B2"/>
    <w:rsid w:val="00132128"/>
    <w:rsid w:val="00135FBE"/>
    <w:rsid w:val="00140437"/>
    <w:rsid w:val="00141530"/>
    <w:rsid w:val="0014219F"/>
    <w:rsid w:val="001505EA"/>
    <w:rsid w:val="0016174F"/>
    <w:rsid w:val="00164D0C"/>
    <w:rsid w:val="001671A4"/>
    <w:rsid w:val="001711FB"/>
    <w:rsid w:val="00173975"/>
    <w:rsid w:val="00175636"/>
    <w:rsid w:val="001815CE"/>
    <w:rsid w:val="00184224"/>
    <w:rsid w:val="00190D2B"/>
    <w:rsid w:val="00192A64"/>
    <w:rsid w:val="001A3DCB"/>
    <w:rsid w:val="001A79B2"/>
    <w:rsid w:val="001B0597"/>
    <w:rsid w:val="001B07FF"/>
    <w:rsid w:val="001B2218"/>
    <w:rsid w:val="001C03BE"/>
    <w:rsid w:val="001C17D1"/>
    <w:rsid w:val="001C3B6E"/>
    <w:rsid w:val="001C4EDD"/>
    <w:rsid w:val="001C638F"/>
    <w:rsid w:val="001C64EF"/>
    <w:rsid w:val="001D055B"/>
    <w:rsid w:val="001D5415"/>
    <w:rsid w:val="001D6E3D"/>
    <w:rsid w:val="001D718C"/>
    <w:rsid w:val="001E0905"/>
    <w:rsid w:val="001E18E4"/>
    <w:rsid w:val="001E23A7"/>
    <w:rsid w:val="001E5C6B"/>
    <w:rsid w:val="001E752F"/>
    <w:rsid w:val="001E7FF2"/>
    <w:rsid w:val="001F4C71"/>
    <w:rsid w:val="00202BB4"/>
    <w:rsid w:val="00206B18"/>
    <w:rsid w:val="002107D4"/>
    <w:rsid w:val="00211DB4"/>
    <w:rsid w:val="00215ABA"/>
    <w:rsid w:val="00216061"/>
    <w:rsid w:val="002218C1"/>
    <w:rsid w:val="00223E3E"/>
    <w:rsid w:val="00224356"/>
    <w:rsid w:val="00224850"/>
    <w:rsid w:val="002346AD"/>
    <w:rsid w:val="002414C2"/>
    <w:rsid w:val="00244BE9"/>
    <w:rsid w:val="00247847"/>
    <w:rsid w:val="00255719"/>
    <w:rsid w:val="0025671B"/>
    <w:rsid w:val="00260D50"/>
    <w:rsid w:val="002634B4"/>
    <w:rsid w:val="00270B9F"/>
    <w:rsid w:val="00273121"/>
    <w:rsid w:val="00274D92"/>
    <w:rsid w:val="00281286"/>
    <w:rsid w:val="00285546"/>
    <w:rsid w:val="00285EB5"/>
    <w:rsid w:val="002862AA"/>
    <w:rsid w:val="00286734"/>
    <w:rsid w:val="0028785D"/>
    <w:rsid w:val="00292F07"/>
    <w:rsid w:val="002950E2"/>
    <w:rsid w:val="002A1919"/>
    <w:rsid w:val="002A1AEF"/>
    <w:rsid w:val="002A3296"/>
    <w:rsid w:val="002A41B2"/>
    <w:rsid w:val="002A49A2"/>
    <w:rsid w:val="002A60C7"/>
    <w:rsid w:val="002B00A0"/>
    <w:rsid w:val="002C008E"/>
    <w:rsid w:val="002C16E2"/>
    <w:rsid w:val="002C237F"/>
    <w:rsid w:val="002C321F"/>
    <w:rsid w:val="002C5F59"/>
    <w:rsid w:val="002C6D9D"/>
    <w:rsid w:val="002D1D87"/>
    <w:rsid w:val="002E38A0"/>
    <w:rsid w:val="002F056D"/>
    <w:rsid w:val="002F0B5E"/>
    <w:rsid w:val="002F0F3E"/>
    <w:rsid w:val="002F651F"/>
    <w:rsid w:val="003003DC"/>
    <w:rsid w:val="00303371"/>
    <w:rsid w:val="003040F4"/>
    <w:rsid w:val="00321B19"/>
    <w:rsid w:val="00324300"/>
    <w:rsid w:val="00324F1B"/>
    <w:rsid w:val="00335FBF"/>
    <w:rsid w:val="00337728"/>
    <w:rsid w:val="00340288"/>
    <w:rsid w:val="00342D7E"/>
    <w:rsid w:val="0034437D"/>
    <w:rsid w:val="0034666C"/>
    <w:rsid w:val="00346A8A"/>
    <w:rsid w:val="00350F5F"/>
    <w:rsid w:val="00355834"/>
    <w:rsid w:val="00372DEB"/>
    <w:rsid w:val="0037509F"/>
    <w:rsid w:val="00377878"/>
    <w:rsid w:val="003800E2"/>
    <w:rsid w:val="003806EF"/>
    <w:rsid w:val="00380DD2"/>
    <w:rsid w:val="0038181B"/>
    <w:rsid w:val="00382596"/>
    <w:rsid w:val="00383CEC"/>
    <w:rsid w:val="00393660"/>
    <w:rsid w:val="003938B5"/>
    <w:rsid w:val="00396DB5"/>
    <w:rsid w:val="003A5AA5"/>
    <w:rsid w:val="003B2AF3"/>
    <w:rsid w:val="003B6381"/>
    <w:rsid w:val="003B7079"/>
    <w:rsid w:val="003C094B"/>
    <w:rsid w:val="003C65AB"/>
    <w:rsid w:val="003C77EC"/>
    <w:rsid w:val="003D5295"/>
    <w:rsid w:val="003D5400"/>
    <w:rsid w:val="003E1CED"/>
    <w:rsid w:val="003E6625"/>
    <w:rsid w:val="003F2478"/>
    <w:rsid w:val="003F2F47"/>
    <w:rsid w:val="003F5E97"/>
    <w:rsid w:val="0040071B"/>
    <w:rsid w:val="0040124B"/>
    <w:rsid w:val="0040225F"/>
    <w:rsid w:val="004123F5"/>
    <w:rsid w:val="00414ADA"/>
    <w:rsid w:val="0042152A"/>
    <w:rsid w:val="004259DB"/>
    <w:rsid w:val="00426D43"/>
    <w:rsid w:val="00431084"/>
    <w:rsid w:val="004332F4"/>
    <w:rsid w:val="004353D8"/>
    <w:rsid w:val="00435EEA"/>
    <w:rsid w:val="0043631D"/>
    <w:rsid w:val="00445040"/>
    <w:rsid w:val="00445746"/>
    <w:rsid w:val="00446BF3"/>
    <w:rsid w:val="004509C3"/>
    <w:rsid w:val="004608C0"/>
    <w:rsid w:val="00471001"/>
    <w:rsid w:val="00472E55"/>
    <w:rsid w:val="00477380"/>
    <w:rsid w:val="00482F57"/>
    <w:rsid w:val="004879D9"/>
    <w:rsid w:val="00490550"/>
    <w:rsid w:val="004A0BC5"/>
    <w:rsid w:val="004B06EC"/>
    <w:rsid w:val="004B371A"/>
    <w:rsid w:val="004C0F5D"/>
    <w:rsid w:val="004C2B22"/>
    <w:rsid w:val="004C740D"/>
    <w:rsid w:val="004D291C"/>
    <w:rsid w:val="004D3424"/>
    <w:rsid w:val="004D3EB2"/>
    <w:rsid w:val="004D406B"/>
    <w:rsid w:val="004D47FF"/>
    <w:rsid w:val="004D69A2"/>
    <w:rsid w:val="004E1B6E"/>
    <w:rsid w:val="004F0211"/>
    <w:rsid w:val="004F5C2E"/>
    <w:rsid w:val="0050222D"/>
    <w:rsid w:val="0050525A"/>
    <w:rsid w:val="00505DDE"/>
    <w:rsid w:val="00516DF4"/>
    <w:rsid w:val="005178D8"/>
    <w:rsid w:val="00523CAA"/>
    <w:rsid w:val="0052690D"/>
    <w:rsid w:val="00527DB5"/>
    <w:rsid w:val="00532059"/>
    <w:rsid w:val="00537E28"/>
    <w:rsid w:val="005427C8"/>
    <w:rsid w:val="00543561"/>
    <w:rsid w:val="005435C0"/>
    <w:rsid w:val="00543F93"/>
    <w:rsid w:val="00546C3A"/>
    <w:rsid w:val="00551731"/>
    <w:rsid w:val="00554EAC"/>
    <w:rsid w:val="00561F4A"/>
    <w:rsid w:val="00582ED7"/>
    <w:rsid w:val="005865BF"/>
    <w:rsid w:val="0059003F"/>
    <w:rsid w:val="0059094F"/>
    <w:rsid w:val="005946FD"/>
    <w:rsid w:val="00595E99"/>
    <w:rsid w:val="0059724D"/>
    <w:rsid w:val="005A05CD"/>
    <w:rsid w:val="005A2FE4"/>
    <w:rsid w:val="005B34CE"/>
    <w:rsid w:val="005B3F4C"/>
    <w:rsid w:val="005B55AF"/>
    <w:rsid w:val="005B7F3A"/>
    <w:rsid w:val="005D3820"/>
    <w:rsid w:val="005D6B37"/>
    <w:rsid w:val="005D7227"/>
    <w:rsid w:val="005E04B4"/>
    <w:rsid w:val="005E09B2"/>
    <w:rsid w:val="005E195A"/>
    <w:rsid w:val="005E31CF"/>
    <w:rsid w:val="005E63D3"/>
    <w:rsid w:val="005E67DB"/>
    <w:rsid w:val="005E6864"/>
    <w:rsid w:val="005F33BA"/>
    <w:rsid w:val="005F74BA"/>
    <w:rsid w:val="00601BE5"/>
    <w:rsid w:val="006036A4"/>
    <w:rsid w:val="006071F7"/>
    <w:rsid w:val="00611F56"/>
    <w:rsid w:val="00621488"/>
    <w:rsid w:val="00621E3F"/>
    <w:rsid w:val="00624B6F"/>
    <w:rsid w:val="00625624"/>
    <w:rsid w:val="00626408"/>
    <w:rsid w:val="006328B5"/>
    <w:rsid w:val="00636382"/>
    <w:rsid w:val="00637199"/>
    <w:rsid w:val="00640ACE"/>
    <w:rsid w:val="0064119E"/>
    <w:rsid w:val="00641236"/>
    <w:rsid w:val="00641380"/>
    <w:rsid w:val="00646F54"/>
    <w:rsid w:val="006516CC"/>
    <w:rsid w:val="00651C60"/>
    <w:rsid w:val="00652EB7"/>
    <w:rsid w:val="00657C4E"/>
    <w:rsid w:val="0067419C"/>
    <w:rsid w:val="0067554B"/>
    <w:rsid w:val="00680B1B"/>
    <w:rsid w:val="0068446F"/>
    <w:rsid w:val="00687737"/>
    <w:rsid w:val="00687C6D"/>
    <w:rsid w:val="006926BE"/>
    <w:rsid w:val="00695C0F"/>
    <w:rsid w:val="006A0B0D"/>
    <w:rsid w:val="006A3B2D"/>
    <w:rsid w:val="006B04A9"/>
    <w:rsid w:val="006B04E3"/>
    <w:rsid w:val="006B3F8D"/>
    <w:rsid w:val="006B74FC"/>
    <w:rsid w:val="006C1FBD"/>
    <w:rsid w:val="006C234A"/>
    <w:rsid w:val="006D2EEA"/>
    <w:rsid w:val="006D341B"/>
    <w:rsid w:val="006E1179"/>
    <w:rsid w:val="006E1F48"/>
    <w:rsid w:val="006E4032"/>
    <w:rsid w:val="006E71BC"/>
    <w:rsid w:val="006F3929"/>
    <w:rsid w:val="00701291"/>
    <w:rsid w:val="00705291"/>
    <w:rsid w:val="00705B23"/>
    <w:rsid w:val="007076E7"/>
    <w:rsid w:val="00715B06"/>
    <w:rsid w:val="007170A6"/>
    <w:rsid w:val="00720817"/>
    <w:rsid w:val="007236C3"/>
    <w:rsid w:val="00723BA4"/>
    <w:rsid w:val="00726FCA"/>
    <w:rsid w:val="007331EE"/>
    <w:rsid w:val="00744B91"/>
    <w:rsid w:val="00745B7E"/>
    <w:rsid w:val="00746ECB"/>
    <w:rsid w:val="00747885"/>
    <w:rsid w:val="0076300F"/>
    <w:rsid w:val="00763AB5"/>
    <w:rsid w:val="007647D9"/>
    <w:rsid w:val="00765558"/>
    <w:rsid w:val="007660A7"/>
    <w:rsid w:val="0076748A"/>
    <w:rsid w:val="007700CA"/>
    <w:rsid w:val="00770AC4"/>
    <w:rsid w:val="0078062C"/>
    <w:rsid w:val="007838C6"/>
    <w:rsid w:val="00792D15"/>
    <w:rsid w:val="00795BD7"/>
    <w:rsid w:val="007A01AE"/>
    <w:rsid w:val="007A2463"/>
    <w:rsid w:val="007A3717"/>
    <w:rsid w:val="007B2120"/>
    <w:rsid w:val="007B3380"/>
    <w:rsid w:val="007B483E"/>
    <w:rsid w:val="007C147D"/>
    <w:rsid w:val="007C5C9C"/>
    <w:rsid w:val="007E215C"/>
    <w:rsid w:val="007E7FAD"/>
    <w:rsid w:val="007F6DF3"/>
    <w:rsid w:val="007F7A3E"/>
    <w:rsid w:val="00805B7F"/>
    <w:rsid w:val="008079FE"/>
    <w:rsid w:val="008114E3"/>
    <w:rsid w:val="0082194F"/>
    <w:rsid w:val="00834373"/>
    <w:rsid w:val="00835CF0"/>
    <w:rsid w:val="00836307"/>
    <w:rsid w:val="00836822"/>
    <w:rsid w:val="0084593E"/>
    <w:rsid w:val="0085165F"/>
    <w:rsid w:val="0086095D"/>
    <w:rsid w:val="00861788"/>
    <w:rsid w:val="00866D81"/>
    <w:rsid w:val="00870BF1"/>
    <w:rsid w:val="0087725E"/>
    <w:rsid w:val="008828EB"/>
    <w:rsid w:val="008848F7"/>
    <w:rsid w:val="008978D3"/>
    <w:rsid w:val="008A4FDE"/>
    <w:rsid w:val="008A52AB"/>
    <w:rsid w:val="008B33A8"/>
    <w:rsid w:val="008B52AE"/>
    <w:rsid w:val="008C2E4B"/>
    <w:rsid w:val="008D3998"/>
    <w:rsid w:val="008D46B8"/>
    <w:rsid w:val="008D7384"/>
    <w:rsid w:val="008E0417"/>
    <w:rsid w:val="008E7343"/>
    <w:rsid w:val="008F1001"/>
    <w:rsid w:val="008F16D5"/>
    <w:rsid w:val="00900699"/>
    <w:rsid w:val="00903262"/>
    <w:rsid w:val="00903368"/>
    <w:rsid w:val="00905C7E"/>
    <w:rsid w:val="009063A8"/>
    <w:rsid w:val="0090749B"/>
    <w:rsid w:val="00911016"/>
    <w:rsid w:val="009142EB"/>
    <w:rsid w:val="00920741"/>
    <w:rsid w:val="0092263E"/>
    <w:rsid w:val="00926FC2"/>
    <w:rsid w:val="00932773"/>
    <w:rsid w:val="00934212"/>
    <w:rsid w:val="00937122"/>
    <w:rsid w:val="009414BA"/>
    <w:rsid w:val="009417EF"/>
    <w:rsid w:val="00942936"/>
    <w:rsid w:val="0094504A"/>
    <w:rsid w:val="009578F1"/>
    <w:rsid w:val="00957B8A"/>
    <w:rsid w:val="009635F7"/>
    <w:rsid w:val="00963FF8"/>
    <w:rsid w:val="00966052"/>
    <w:rsid w:val="00966973"/>
    <w:rsid w:val="009779B4"/>
    <w:rsid w:val="00981CD9"/>
    <w:rsid w:val="00992A75"/>
    <w:rsid w:val="0099365F"/>
    <w:rsid w:val="009A5E0F"/>
    <w:rsid w:val="009A64CA"/>
    <w:rsid w:val="009B3B33"/>
    <w:rsid w:val="009C1D0A"/>
    <w:rsid w:val="009C3255"/>
    <w:rsid w:val="009C58C7"/>
    <w:rsid w:val="009C7903"/>
    <w:rsid w:val="009D2CCC"/>
    <w:rsid w:val="009D4FCA"/>
    <w:rsid w:val="009D7A23"/>
    <w:rsid w:val="009E25F8"/>
    <w:rsid w:val="009E34E8"/>
    <w:rsid w:val="009E4483"/>
    <w:rsid w:val="009E62ED"/>
    <w:rsid w:val="009F1D87"/>
    <w:rsid w:val="009F2EA0"/>
    <w:rsid w:val="009F498C"/>
    <w:rsid w:val="009F5304"/>
    <w:rsid w:val="009F60BB"/>
    <w:rsid w:val="00A022D9"/>
    <w:rsid w:val="00A070B7"/>
    <w:rsid w:val="00A21286"/>
    <w:rsid w:val="00A21626"/>
    <w:rsid w:val="00A241A2"/>
    <w:rsid w:val="00A26CC0"/>
    <w:rsid w:val="00A340A7"/>
    <w:rsid w:val="00A347E7"/>
    <w:rsid w:val="00A35059"/>
    <w:rsid w:val="00A42F74"/>
    <w:rsid w:val="00A455D1"/>
    <w:rsid w:val="00A4583A"/>
    <w:rsid w:val="00A52FE0"/>
    <w:rsid w:val="00A5481F"/>
    <w:rsid w:val="00A560FA"/>
    <w:rsid w:val="00A568A6"/>
    <w:rsid w:val="00A605BB"/>
    <w:rsid w:val="00A62166"/>
    <w:rsid w:val="00A623DC"/>
    <w:rsid w:val="00A64477"/>
    <w:rsid w:val="00A669CE"/>
    <w:rsid w:val="00A700FC"/>
    <w:rsid w:val="00A702F0"/>
    <w:rsid w:val="00A72DED"/>
    <w:rsid w:val="00A763EC"/>
    <w:rsid w:val="00A827B8"/>
    <w:rsid w:val="00A8443E"/>
    <w:rsid w:val="00A8679F"/>
    <w:rsid w:val="00A86B41"/>
    <w:rsid w:val="00A87968"/>
    <w:rsid w:val="00A92485"/>
    <w:rsid w:val="00A92FB4"/>
    <w:rsid w:val="00A96FC8"/>
    <w:rsid w:val="00AA0CFB"/>
    <w:rsid w:val="00AA784E"/>
    <w:rsid w:val="00AA7FBE"/>
    <w:rsid w:val="00AB17AC"/>
    <w:rsid w:val="00AB4F5E"/>
    <w:rsid w:val="00AC2BBB"/>
    <w:rsid w:val="00AC41F4"/>
    <w:rsid w:val="00AC5113"/>
    <w:rsid w:val="00AD32AE"/>
    <w:rsid w:val="00AD503E"/>
    <w:rsid w:val="00AD6080"/>
    <w:rsid w:val="00AD63CB"/>
    <w:rsid w:val="00AE1389"/>
    <w:rsid w:val="00AE465D"/>
    <w:rsid w:val="00AE6D29"/>
    <w:rsid w:val="00AF0686"/>
    <w:rsid w:val="00AF2A11"/>
    <w:rsid w:val="00AF7C13"/>
    <w:rsid w:val="00B01CAA"/>
    <w:rsid w:val="00B02543"/>
    <w:rsid w:val="00B062B6"/>
    <w:rsid w:val="00B110B2"/>
    <w:rsid w:val="00B14C29"/>
    <w:rsid w:val="00B15FFC"/>
    <w:rsid w:val="00B1757D"/>
    <w:rsid w:val="00B21BE3"/>
    <w:rsid w:val="00B277EE"/>
    <w:rsid w:val="00B3721D"/>
    <w:rsid w:val="00B37F94"/>
    <w:rsid w:val="00B47B47"/>
    <w:rsid w:val="00B532ED"/>
    <w:rsid w:val="00B533B5"/>
    <w:rsid w:val="00B5756E"/>
    <w:rsid w:val="00B610F1"/>
    <w:rsid w:val="00B642A7"/>
    <w:rsid w:val="00B64AC0"/>
    <w:rsid w:val="00B6598B"/>
    <w:rsid w:val="00B67370"/>
    <w:rsid w:val="00B72726"/>
    <w:rsid w:val="00B74790"/>
    <w:rsid w:val="00B75805"/>
    <w:rsid w:val="00B76F99"/>
    <w:rsid w:val="00B80503"/>
    <w:rsid w:val="00B828DA"/>
    <w:rsid w:val="00B91D90"/>
    <w:rsid w:val="00B91E6E"/>
    <w:rsid w:val="00B94A43"/>
    <w:rsid w:val="00BA5F3F"/>
    <w:rsid w:val="00BB2951"/>
    <w:rsid w:val="00BB34F7"/>
    <w:rsid w:val="00BB45F8"/>
    <w:rsid w:val="00BB5487"/>
    <w:rsid w:val="00BC0A5B"/>
    <w:rsid w:val="00BC2258"/>
    <w:rsid w:val="00BC32A6"/>
    <w:rsid w:val="00BC34B7"/>
    <w:rsid w:val="00BC4444"/>
    <w:rsid w:val="00BC4A2A"/>
    <w:rsid w:val="00BD02C0"/>
    <w:rsid w:val="00BD5800"/>
    <w:rsid w:val="00BD7869"/>
    <w:rsid w:val="00BE1135"/>
    <w:rsid w:val="00BE53A9"/>
    <w:rsid w:val="00BE7772"/>
    <w:rsid w:val="00BF4649"/>
    <w:rsid w:val="00BF6B57"/>
    <w:rsid w:val="00C019C6"/>
    <w:rsid w:val="00C04C2E"/>
    <w:rsid w:val="00C05D6A"/>
    <w:rsid w:val="00C12BE7"/>
    <w:rsid w:val="00C2164C"/>
    <w:rsid w:val="00C37500"/>
    <w:rsid w:val="00C465B7"/>
    <w:rsid w:val="00C4710F"/>
    <w:rsid w:val="00C536E9"/>
    <w:rsid w:val="00C60B90"/>
    <w:rsid w:val="00C62304"/>
    <w:rsid w:val="00C62C6A"/>
    <w:rsid w:val="00C64218"/>
    <w:rsid w:val="00C64C13"/>
    <w:rsid w:val="00C66E52"/>
    <w:rsid w:val="00C67218"/>
    <w:rsid w:val="00C72CEA"/>
    <w:rsid w:val="00C80FE9"/>
    <w:rsid w:val="00C8679F"/>
    <w:rsid w:val="00C87A95"/>
    <w:rsid w:val="00C90602"/>
    <w:rsid w:val="00C91FDE"/>
    <w:rsid w:val="00C930E7"/>
    <w:rsid w:val="00CA02A9"/>
    <w:rsid w:val="00CA7ED8"/>
    <w:rsid w:val="00CB7789"/>
    <w:rsid w:val="00CB7B7D"/>
    <w:rsid w:val="00CC2454"/>
    <w:rsid w:val="00CC2DC5"/>
    <w:rsid w:val="00CC3762"/>
    <w:rsid w:val="00CC4A06"/>
    <w:rsid w:val="00CD5E03"/>
    <w:rsid w:val="00CD6D7E"/>
    <w:rsid w:val="00CE1BA0"/>
    <w:rsid w:val="00CF1E80"/>
    <w:rsid w:val="00CF510E"/>
    <w:rsid w:val="00CF5A8D"/>
    <w:rsid w:val="00CF5A97"/>
    <w:rsid w:val="00CF60E6"/>
    <w:rsid w:val="00CF65CF"/>
    <w:rsid w:val="00D04051"/>
    <w:rsid w:val="00D04DF9"/>
    <w:rsid w:val="00D07C63"/>
    <w:rsid w:val="00D11B9B"/>
    <w:rsid w:val="00D22E82"/>
    <w:rsid w:val="00D24B2A"/>
    <w:rsid w:val="00D2746E"/>
    <w:rsid w:val="00D352C7"/>
    <w:rsid w:val="00D405B4"/>
    <w:rsid w:val="00D40600"/>
    <w:rsid w:val="00D42C01"/>
    <w:rsid w:val="00D51B8A"/>
    <w:rsid w:val="00D520FB"/>
    <w:rsid w:val="00D549C9"/>
    <w:rsid w:val="00D56AEB"/>
    <w:rsid w:val="00D6480D"/>
    <w:rsid w:val="00D6521F"/>
    <w:rsid w:val="00D65F9A"/>
    <w:rsid w:val="00D705E1"/>
    <w:rsid w:val="00D70AED"/>
    <w:rsid w:val="00D72E6A"/>
    <w:rsid w:val="00D740D5"/>
    <w:rsid w:val="00D80F5B"/>
    <w:rsid w:val="00D8182F"/>
    <w:rsid w:val="00D827A3"/>
    <w:rsid w:val="00D900C5"/>
    <w:rsid w:val="00D91701"/>
    <w:rsid w:val="00D918E0"/>
    <w:rsid w:val="00D93679"/>
    <w:rsid w:val="00D978E0"/>
    <w:rsid w:val="00D97D4E"/>
    <w:rsid w:val="00DA085C"/>
    <w:rsid w:val="00DA2906"/>
    <w:rsid w:val="00DB2A4A"/>
    <w:rsid w:val="00DC01A2"/>
    <w:rsid w:val="00DC0DD1"/>
    <w:rsid w:val="00DC18BF"/>
    <w:rsid w:val="00DC2876"/>
    <w:rsid w:val="00DC63BE"/>
    <w:rsid w:val="00DC667C"/>
    <w:rsid w:val="00DC76C2"/>
    <w:rsid w:val="00DD3D29"/>
    <w:rsid w:val="00DD4DB8"/>
    <w:rsid w:val="00DD723C"/>
    <w:rsid w:val="00DE6FBD"/>
    <w:rsid w:val="00DF1825"/>
    <w:rsid w:val="00DF1AFE"/>
    <w:rsid w:val="00DF3B98"/>
    <w:rsid w:val="00E0743E"/>
    <w:rsid w:val="00E07745"/>
    <w:rsid w:val="00E07F4B"/>
    <w:rsid w:val="00E1493A"/>
    <w:rsid w:val="00E16923"/>
    <w:rsid w:val="00E2064B"/>
    <w:rsid w:val="00E210F8"/>
    <w:rsid w:val="00E23D02"/>
    <w:rsid w:val="00E24017"/>
    <w:rsid w:val="00E25FA3"/>
    <w:rsid w:val="00E2716B"/>
    <w:rsid w:val="00E273FE"/>
    <w:rsid w:val="00E31158"/>
    <w:rsid w:val="00E32C29"/>
    <w:rsid w:val="00E35BC4"/>
    <w:rsid w:val="00E37EEB"/>
    <w:rsid w:val="00E401DF"/>
    <w:rsid w:val="00E42D48"/>
    <w:rsid w:val="00E4349C"/>
    <w:rsid w:val="00E43A5A"/>
    <w:rsid w:val="00E53EC6"/>
    <w:rsid w:val="00E544A1"/>
    <w:rsid w:val="00E55321"/>
    <w:rsid w:val="00E61E45"/>
    <w:rsid w:val="00E63CB5"/>
    <w:rsid w:val="00E640BA"/>
    <w:rsid w:val="00E649EA"/>
    <w:rsid w:val="00E70F9B"/>
    <w:rsid w:val="00E7364D"/>
    <w:rsid w:val="00E7638E"/>
    <w:rsid w:val="00E7654C"/>
    <w:rsid w:val="00E8107A"/>
    <w:rsid w:val="00E84889"/>
    <w:rsid w:val="00E877FD"/>
    <w:rsid w:val="00E91A21"/>
    <w:rsid w:val="00E91ADF"/>
    <w:rsid w:val="00E928AF"/>
    <w:rsid w:val="00E93E7A"/>
    <w:rsid w:val="00E9634C"/>
    <w:rsid w:val="00EA23A6"/>
    <w:rsid w:val="00EA2818"/>
    <w:rsid w:val="00EA39E3"/>
    <w:rsid w:val="00EB3AC1"/>
    <w:rsid w:val="00EC0053"/>
    <w:rsid w:val="00EC7153"/>
    <w:rsid w:val="00EE1807"/>
    <w:rsid w:val="00EF09DB"/>
    <w:rsid w:val="00EF2887"/>
    <w:rsid w:val="00F02EAA"/>
    <w:rsid w:val="00F06260"/>
    <w:rsid w:val="00F06321"/>
    <w:rsid w:val="00F12014"/>
    <w:rsid w:val="00F14B75"/>
    <w:rsid w:val="00F161F4"/>
    <w:rsid w:val="00F16F23"/>
    <w:rsid w:val="00F228EA"/>
    <w:rsid w:val="00F2375B"/>
    <w:rsid w:val="00F2689B"/>
    <w:rsid w:val="00F302D4"/>
    <w:rsid w:val="00F3059B"/>
    <w:rsid w:val="00F32AC3"/>
    <w:rsid w:val="00F37F62"/>
    <w:rsid w:val="00F4662B"/>
    <w:rsid w:val="00F60E57"/>
    <w:rsid w:val="00F64AAB"/>
    <w:rsid w:val="00F67BC5"/>
    <w:rsid w:val="00F70BF3"/>
    <w:rsid w:val="00F70C5A"/>
    <w:rsid w:val="00F7176C"/>
    <w:rsid w:val="00F7185B"/>
    <w:rsid w:val="00F75189"/>
    <w:rsid w:val="00F80611"/>
    <w:rsid w:val="00F84055"/>
    <w:rsid w:val="00F849D4"/>
    <w:rsid w:val="00F87643"/>
    <w:rsid w:val="00F87CC0"/>
    <w:rsid w:val="00FA1DCA"/>
    <w:rsid w:val="00FA36C1"/>
    <w:rsid w:val="00FA58EA"/>
    <w:rsid w:val="00FB0C08"/>
    <w:rsid w:val="00FB28E2"/>
    <w:rsid w:val="00FB4CC1"/>
    <w:rsid w:val="00FC3641"/>
    <w:rsid w:val="00FC5DE0"/>
    <w:rsid w:val="00FC6A10"/>
    <w:rsid w:val="00FD5A1F"/>
    <w:rsid w:val="00FD7DBF"/>
    <w:rsid w:val="00FE45E0"/>
    <w:rsid w:val="00FE7AA6"/>
    <w:rsid w:val="00FF1672"/>
    <w:rsid w:val="00FF2374"/>
    <w:rsid w:val="00FF3497"/>
    <w:rsid w:val="00FF5D1F"/>
    <w:rsid w:val="00FF6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CFF9E0F"/>
  <w15:docId w15:val="{8E6873FB-499D-49CA-959C-3F1311CF1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0B0D"/>
    <w:pPr>
      <w:ind w:left="720"/>
      <w:contextualSpacing/>
    </w:pPr>
  </w:style>
  <w:style w:type="table" w:styleId="TableGrid">
    <w:name w:val="Table Grid"/>
    <w:basedOn w:val="TableNormal"/>
    <w:uiPriority w:val="39"/>
    <w:rsid w:val="00286734"/>
    <w:pPr>
      <w:spacing w:after="0" w:line="240" w:lineRule="auto"/>
    </w:pPr>
    <w:rPr>
      <w:sz w:val="24"/>
      <w:szCs w:val="24"/>
      <w:lang w:val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076E7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A79B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1A79B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79B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79B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79B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79B2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79B2"/>
    <w:rPr>
      <w:rFonts w:ascii="Lucida Grande" w:hAnsi="Lucida Grande" w:cs="Lucida Grande"/>
      <w:sz w:val="18"/>
      <w:szCs w:val="18"/>
    </w:rPr>
  </w:style>
  <w:style w:type="paragraph" w:styleId="Revision">
    <w:name w:val="Revision"/>
    <w:hidden/>
    <w:uiPriority w:val="99"/>
    <w:semiHidden/>
    <w:rsid w:val="00595E99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unhideWhenUsed/>
    <w:rsid w:val="004D291C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D291C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4D291C"/>
    <w:rPr>
      <w:vertAlign w:val="superscript"/>
    </w:rPr>
  </w:style>
  <w:style w:type="paragraph" w:styleId="NormalWeb">
    <w:name w:val="Normal (Web)"/>
    <w:basedOn w:val="Normal"/>
    <w:uiPriority w:val="99"/>
    <w:unhideWhenUsed/>
    <w:rsid w:val="00001014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en-GB"/>
    </w:rPr>
  </w:style>
  <w:style w:type="table" w:styleId="LightList-Accent5">
    <w:name w:val="Light List Accent 5"/>
    <w:basedOn w:val="TableNormal"/>
    <w:uiPriority w:val="61"/>
    <w:rsid w:val="003C094B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8B52AE"/>
    <w:rPr>
      <w:color w:val="954F72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43631D"/>
  </w:style>
  <w:style w:type="table" w:customStyle="1" w:styleId="TableGrid1">
    <w:name w:val="Table Grid1"/>
    <w:basedOn w:val="TableNormal"/>
    <w:next w:val="TableGrid"/>
    <w:uiPriority w:val="59"/>
    <w:rsid w:val="00A560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113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1135"/>
  </w:style>
  <w:style w:type="paragraph" w:styleId="Footer">
    <w:name w:val="footer"/>
    <w:basedOn w:val="Normal"/>
    <w:link w:val="FooterChar"/>
    <w:uiPriority w:val="99"/>
    <w:unhideWhenUsed/>
    <w:rsid w:val="00BE113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1135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A13FB"/>
    <w:rPr>
      <w:color w:val="605E5C"/>
      <w:shd w:val="clear" w:color="auto" w:fill="E1DFDD"/>
    </w:rPr>
  </w:style>
  <w:style w:type="paragraph" w:customStyle="1" w:styleId="Default">
    <w:name w:val="Default"/>
    <w:rsid w:val="00CF60E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723B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9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4967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6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5957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1316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666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3409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7716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46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2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279537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5729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1877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0992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96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2660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6230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9265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3959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967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6293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0457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865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4721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08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35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165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82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78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7475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07934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8475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20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0812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9980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1587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85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5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78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44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011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06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19886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673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4608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404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6347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55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89779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52893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44639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804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7892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9151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26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7774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6144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0629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7023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626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8642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4860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874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56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3621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1367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0150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0576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1724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38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08608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8618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5341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7077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1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c.europa.eu/echo/sites/echo-site/files/eie_mapping_report.pdf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ducationcluster.box.com/s/3jymgq0qqh2plhz3dlh8gz3qtj04zuw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educationcluster.box.com/s/jemv082do5s80p270fswgwjwbn5kuf1g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CE317431CEBC147987F05DAE86A27F6" ma:contentTypeVersion="12" ma:contentTypeDescription="Opret et nyt dokument." ma:contentTypeScope="" ma:versionID="42634b7ec19e917f5fbe1dd32a57591c">
  <xsd:schema xmlns:xsd="http://www.w3.org/2001/XMLSchema" xmlns:xs="http://www.w3.org/2001/XMLSchema" xmlns:p="http://schemas.microsoft.com/office/2006/metadata/properties" xmlns:ns3="082b9dea-9a63-434d-b57e-688050f99571" xmlns:ns4="bde28165-fc8c-44bd-870d-8513c2d38fe2" targetNamespace="http://schemas.microsoft.com/office/2006/metadata/properties" ma:root="true" ma:fieldsID="098dad9c92e3b68c5bf02ecba36bac5e" ns3:_="" ns4:_="">
    <xsd:import namespace="082b9dea-9a63-434d-b57e-688050f99571"/>
    <xsd:import namespace="bde28165-fc8c-44bd-870d-8513c2d38fe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2b9dea-9a63-434d-b57e-688050f995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e28165-fc8c-44bd-870d-8513c2d38fe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værdi for deling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C87D83-9B82-4E96-8BE3-F4AB531B236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B5684DB-6382-4BE1-9CD1-CB079B479EC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FB5B66A-3C80-4C34-A5A9-EAA8A27A99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2b9dea-9a63-434d-b57e-688050f99571"/>
    <ds:schemaRef ds:uri="bde28165-fc8c-44bd-870d-8513c2d38f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CC9A19B-157F-4AF9-8A0B-3F4170BDCB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1149</Words>
  <Characters>6554</Characters>
  <Application>Microsoft Office Word</Application>
  <DocSecurity>0</DocSecurity>
  <Lines>54</Lines>
  <Paragraphs>15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 AoR</dc:creator>
  <cp:keywords/>
  <dc:description/>
  <cp:lastModifiedBy>Monserez, Mackenzie</cp:lastModifiedBy>
  <cp:revision>4</cp:revision>
  <cp:lastPrinted>2020-02-13T08:37:00Z</cp:lastPrinted>
  <dcterms:created xsi:type="dcterms:W3CDTF">2020-11-17T14:42:00Z</dcterms:created>
  <dcterms:modified xsi:type="dcterms:W3CDTF">2020-11-30T15:51:00Z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840c0f8-1866-4162-ad0f-2d70e03cc773_Enabled">
    <vt:lpwstr>True</vt:lpwstr>
  </property>
  <property fmtid="{D5CDD505-2E9C-101B-9397-08002B2CF9AE}" pid="3" name="MSIP_Label_7840c0f8-1866-4162-ad0f-2d70e03cc773_SiteId">
    <vt:lpwstr>b738c0f4-215a-438a-ad8b-3a8b60351c56</vt:lpwstr>
  </property>
  <property fmtid="{D5CDD505-2E9C-101B-9397-08002B2CF9AE}" pid="4" name="MSIP_Label_7840c0f8-1866-4162-ad0f-2d70e03cc773_Owner">
    <vt:lpwstr>meh@redbarnet.dk</vt:lpwstr>
  </property>
  <property fmtid="{D5CDD505-2E9C-101B-9397-08002B2CF9AE}" pid="5" name="MSIP_Label_7840c0f8-1866-4162-ad0f-2d70e03cc773_SetDate">
    <vt:lpwstr>2020-06-29T14:55:54.2688333Z</vt:lpwstr>
  </property>
  <property fmtid="{D5CDD505-2E9C-101B-9397-08002B2CF9AE}" pid="6" name="MSIP_Label_7840c0f8-1866-4162-ad0f-2d70e03cc773_Name">
    <vt:lpwstr>Public - Offentlig</vt:lpwstr>
  </property>
  <property fmtid="{D5CDD505-2E9C-101B-9397-08002B2CF9AE}" pid="7" name="MSIP_Label_7840c0f8-1866-4162-ad0f-2d70e03cc773_Application">
    <vt:lpwstr>Microsoft Azure Information Protection</vt:lpwstr>
  </property>
  <property fmtid="{D5CDD505-2E9C-101B-9397-08002B2CF9AE}" pid="8" name="MSIP_Label_7840c0f8-1866-4162-ad0f-2d70e03cc773_ActionId">
    <vt:lpwstr>e2c23936-d4a8-4ae6-ba30-a3da27bce361</vt:lpwstr>
  </property>
  <property fmtid="{D5CDD505-2E9C-101B-9397-08002B2CF9AE}" pid="9" name="MSIP_Label_7840c0f8-1866-4162-ad0f-2d70e03cc773_Extended_MSFT_Method">
    <vt:lpwstr>Automatic</vt:lpwstr>
  </property>
  <property fmtid="{D5CDD505-2E9C-101B-9397-08002B2CF9AE}" pid="10" name="Sensitivity">
    <vt:lpwstr>Public - Offentlig</vt:lpwstr>
  </property>
  <property fmtid="{D5CDD505-2E9C-101B-9397-08002B2CF9AE}" pid="11" name="ContentTypeId">
    <vt:lpwstr>0x0101006CE317431CEBC147987F05DAE86A27F6</vt:lpwstr>
  </property>
</Properties>
</file>